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0000001F" w14:textId="3D2BC796" w:rsidR="0009573D" w:rsidRDefault="008E1D14" w:rsidP="006E376F">
      <w:pPr>
        <w:jc w:val="center"/>
        <w:rPr>
          <w:rFonts w:ascii="Calibri" w:eastAsia="Calibri" w:hAnsi="Calibri" w:cs="Calibri"/>
          <w:b/>
          <w:bCs/>
          <w:sz w:val="32"/>
          <w:szCs w:val="32"/>
        </w:rPr>
      </w:pPr>
      <w:r>
        <w:rPr>
          <w:rFonts w:ascii="Calibri" w:eastAsia="Calibri" w:hAnsi="Calibri" w:cs="Calibri"/>
          <w:b/>
          <w:bCs/>
          <w:sz w:val="32"/>
          <w:szCs w:val="32"/>
        </w:rPr>
        <w:t xml:space="preserve"> </w:t>
      </w:r>
      <w:r w:rsidRPr="008E1D14">
        <w:rPr>
          <w:rFonts w:ascii="Calibri" w:eastAsia="Calibri" w:hAnsi="Calibri" w:cs="Calibri"/>
          <w:b/>
          <w:bCs/>
          <w:sz w:val="32"/>
          <w:szCs w:val="32"/>
        </w:rPr>
        <w:t>Library Science</w:t>
      </w:r>
    </w:p>
    <w:p w14:paraId="1809B771" w14:textId="77777777" w:rsidR="006E376F" w:rsidRPr="006E376F" w:rsidRDefault="006E376F" w:rsidP="006E376F">
      <w:pPr>
        <w:jc w:val="center"/>
        <w:rPr>
          <w:rFonts w:ascii="Calibri" w:eastAsia="Calibri" w:hAnsi="Calibri" w:cs="Calibri"/>
          <w:b/>
          <w:bCs/>
          <w:sz w:val="44"/>
          <w:szCs w:val="44"/>
        </w:rPr>
      </w:pP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lastRenderedPageBreak/>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74D59CE1" w14:textId="22D3EDC0" w:rsidR="00E34F5A" w:rsidRDefault="00C126EB">
      <w:pPr>
        <w:rPr>
          <w:rFonts w:ascii="Calibri" w:eastAsia="Calibri" w:hAnsi="Calibri" w:cs="Calibri"/>
          <w:sz w:val="24"/>
          <w:szCs w:val="24"/>
        </w:rPr>
      </w:pPr>
      <w:r w:rsidRPr="00C126EB">
        <w:rPr>
          <w:rFonts w:ascii="Calibri" w:eastAsia="Calibri" w:hAnsi="Calibri" w:cs="Calibri"/>
          <w:noProof/>
          <w:sz w:val="24"/>
          <w:szCs w:val="24"/>
        </w:rPr>
        <w:drawing>
          <wp:inline distT="0" distB="0" distL="0" distR="0" wp14:anchorId="01D57FBD" wp14:editId="53C52E3D">
            <wp:extent cx="4018935" cy="295509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39567" cy="2970269"/>
                    </a:xfrm>
                    <a:prstGeom prst="rect">
                      <a:avLst/>
                    </a:prstGeom>
                  </pic:spPr>
                </pic:pic>
              </a:graphicData>
            </a:graphic>
          </wp:inline>
        </w:drawing>
      </w:r>
    </w:p>
    <w:p w14:paraId="3754AFD3" w14:textId="2D69759D" w:rsidR="00B37582" w:rsidRDefault="008F7E26">
      <w:pPr>
        <w:rPr>
          <w:rFonts w:ascii="Calibri" w:eastAsia="Calibri" w:hAnsi="Calibri" w:cs="Calibri"/>
          <w:sz w:val="24"/>
          <w:szCs w:val="24"/>
        </w:rPr>
      </w:pPr>
      <w:r w:rsidRPr="008F7E26">
        <w:rPr>
          <w:rFonts w:ascii="Calibri" w:eastAsia="Calibri" w:hAnsi="Calibri" w:cs="Calibri"/>
          <w:b/>
          <w:bCs/>
          <w:sz w:val="24"/>
          <w:szCs w:val="24"/>
        </w:rPr>
        <w:t>Enrollment</w:t>
      </w:r>
      <w:r w:rsidRPr="008F7E26">
        <w:rPr>
          <w:rFonts w:ascii="Calibri" w:eastAsia="Calibri" w:hAnsi="Calibri" w:cs="Calibri"/>
          <w:sz w:val="24"/>
          <w:szCs w:val="24"/>
        </w:rPr>
        <w:t xml:space="preserve"> and </w:t>
      </w:r>
      <w:r w:rsidRPr="008F7E26">
        <w:rPr>
          <w:rFonts w:ascii="Calibri" w:eastAsia="Calibri" w:hAnsi="Calibri" w:cs="Calibri"/>
          <w:b/>
          <w:bCs/>
          <w:sz w:val="24"/>
          <w:szCs w:val="24"/>
        </w:rPr>
        <w:t>Headcount</w:t>
      </w:r>
      <w:r w:rsidRPr="008F7E26">
        <w:rPr>
          <w:rFonts w:ascii="Calibri" w:eastAsia="Calibri" w:hAnsi="Calibri" w:cs="Calibri"/>
          <w:sz w:val="24"/>
          <w:szCs w:val="24"/>
        </w:rPr>
        <w:t xml:space="preserve"> track closely together over the five-year period, experiencing a brief dip in 2022–2023 followed by a peak </w:t>
      </w:r>
      <w:r w:rsidR="00A5073A">
        <w:rPr>
          <w:rFonts w:ascii="Calibri" w:eastAsia="Calibri" w:hAnsi="Calibri" w:cs="Calibri"/>
          <w:sz w:val="24"/>
          <w:szCs w:val="24"/>
        </w:rPr>
        <w:t>at 95</w:t>
      </w:r>
      <w:r w:rsidRPr="008F7E26">
        <w:rPr>
          <w:rFonts w:ascii="Calibri" w:eastAsia="Calibri" w:hAnsi="Calibri" w:cs="Calibri"/>
          <w:sz w:val="24"/>
          <w:szCs w:val="24"/>
        </w:rPr>
        <w:t xml:space="preserve"> in 2023–2024 before stabilizing near 79 by 2025–2026.</w:t>
      </w:r>
    </w:p>
    <w:p w14:paraId="699962DC" w14:textId="77777777" w:rsidR="008F7E26" w:rsidRDefault="008F7E26">
      <w:pPr>
        <w:rPr>
          <w:rFonts w:ascii="Calibri" w:eastAsia="Calibri" w:hAnsi="Calibri" w:cs="Calibri"/>
          <w:sz w:val="24"/>
          <w:szCs w:val="24"/>
        </w:rPr>
      </w:pPr>
    </w:p>
    <w:p w14:paraId="61A154CD" w14:textId="22C5F198" w:rsidR="00B37582" w:rsidRDefault="00B37582">
      <w:pPr>
        <w:rPr>
          <w:rFonts w:ascii="Calibri" w:eastAsia="Calibri" w:hAnsi="Calibri" w:cs="Calibri"/>
          <w:sz w:val="24"/>
          <w:szCs w:val="24"/>
        </w:rPr>
      </w:pPr>
      <w:r w:rsidRPr="00B37582">
        <w:rPr>
          <w:rFonts w:ascii="Calibri" w:eastAsia="Calibri" w:hAnsi="Calibri" w:cs="Calibri"/>
          <w:noProof/>
          <w:sz w:val="24"/>
          <w:szCs w:val="24"/>
        </w:rPr>
        <w:drawing>
          <wp:inline distT="0" distB="0" distL="0" distR="0" wp14:anchorId="42E04A0A" wp14:editId="3291B839">
            <wp:extent cx="4107426" cy="294253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19317" cy="2951052"/>
                    </a:xfrm>
                    <a:prstGeom prst="rect">
                      <a:avLst/>
                    </a:prstGeom>
                  </pic:spPr>
                </pic:pic>
              </a:graphicData>
            </a:graphic>
          </wp:inline>
        </w:drawing>
      </w:r>
    </w:p>
    <w:p w14:paraId="1ED20A65" w14:textId="7E47BE63" w:rsidR="008F7E26" w:rsidRDefault="008F7E26">
      <w:pPr>
        <w:rPr>
          <w:rFonts w:ascii="Calibri" w:eastAsia="Calibri" w:hAnsi="Calibri" w:cs="Calibri"/>
          <w:sz w:val="24"/>
          <w:szCs w:val="24"/>
        </w:rPr>
      </w:pPr>
      <w:r w:rsidRPr="008F7E26">
        <w:rPr>
          <w:rFonts w:ascii="Calibri" w:eastAsia="Calibri" w:hAnsi="Calibri" w:cs="Calibri"/>
          <w:sz w:val="24"/>
          <w:szCs w:val="24"/>
        </w:rPr>
        <w:t xml:space="preserve">While </w:t>
      </w:r>
      <w:r w:rsidRPr="008F7E26">
        <w:rPr>
          <w:rFonts w:ascii="Calibri" w:eastAsia="Calibri" w:hAnsi="Calibri" w:cs="Calibri"/>
          <w:b/>
          <w:bCs/>
          <w:sz w:val="24"/>
          <w:szCs w:val="24"/>
        </w:rPr>
        <w:t>FTEF</w:t>
      </w:r>
      <w:r w:rsidRPr="008F7E26">
        <w:rPr>
          <w:rFonts w:ascii="Calibri" w:eastAsia="Calibri" w:hAnsi="Calibri" w:cs="Calibri"/>
          <w:sz w:val="24"/>
          <w:szCs w:val="24"/>
        </w:rPr>
        <w:t xml:space="preserve"> remains flat at zero across all five academic years, </w:t>
      </w:r>
      <w:r w:rsidRPr="008F7E26">
        <w:rPr>
          <w:rFonts w:ascii="Calibri" w:eastAsia="Calibri" w:hAnsi="Calibri" w:cs="Calibri"/>
          <w:b/>
          <w:bCs/>
          <w:sz w:val="24"/>
          <w:szCs w:val="24"/>
        </w:rPr>
        <w:t>FTES</w:t>
      </w:r>
      <w:r w:rsidRPr="008F7E26">
        <w:rPr>
          <w:rFonts w:ascii="Calibri" w:eastAsia="Calibri" w:hAnsi="Calibri" w:cs="Calibri"/>
          <w:sz w:val="24"/>
          <w:szCs w:val="24"/>
        </w:rPr>
        <w:t xml:space="preserve"> fluctuates between 2 and 3, peaking in 2023–2024 before stabilizing near 2.6 by 2025–2026.</w:t>
      </w:r>
    </w:p>
    <w:p w14:paraId="79B7F892" w14:textId="33E13E9D" w:rsidR="00B37582" w:rsidRDefault="00B37582">
      <w:pPr>
        <w:rPr>
          <w:rFonts w:ascii="Calibri" w:eastAsia="Calibri" w:hAnsi="Calibri" w:cs="Calibri"/>
          <w:sz w:val="24"/>
          <w:szCs w:val="24"/>
        </w:rPr>
      </w:pPr>
    </w:p>
    <w:p w14:paraId="632BDBA2" w14:textId="58D28F98" w:rsidR="00B37582" w:rsidRDefault="00B37582">
      <w:pPr>
        <w:rPr>
          <w:rFonts w:ascii="Calibri" w:eastAsia="Calibri" w:hAnsi="Calibri" w:cs="Calibri"/>
          <w:sz w:val="24"/>
          <w:szCs w:val="24"/>
        </w:rPr>
      </w:pPr>
      <w:r w:rsidRPr="00B37582">
        <w:rPr>
          <w:rFonts w:ascii="Calibri" w:eastAsia="Calibri" w:hAnsi="Calibri" w:cs="Calibri"/>
          <w:noProof/>
          <w:sz w:val="24"/>
          <w:szCs w:val="24"/>
        </w:rPr>
        <w:lastRenderedPageBreak/>
        <w:drawing>
          <wp:inline distT="0" distB="0" distL="0" distR="0" wp14:anchorId="4254559E" wp14:editId="2C8ACEE0">
            <wp:extent cx="4011561" cy="2961071"/>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31647" cy="2975897"/>
                    </a:xfrm>
                    <a:prstGeom prst="rect">
                      <a:avLst/>
                    </a:prstGeom>
                  </pic:spPr>
                </pic:pic>
              </a:graphicData>
            </a:graphic>
          </wp:inline>
        </w:drawing>
      </w:r>
    </w:p>
    <w:p w14:paraId="20DBAB5D" w14:textId="295E7119" w:rsidR="00B37582" w:rsidRDefault="008F7E26">
      <w:pPr>
        <w:rPr>
          <w:rFonts w:ascii="Calibri" w:eastAsia="Calibri" w:hAnsi="Calibri" w:cs="Calibri"/>
          <w:sz w:val="24"/>
          <w:szCs w:val="24"/>
        </w:rPr>
      </w:pPr>
      <w:r w:rsidRPr="008F7E26">
        <w:rPr>
          <w:rFonts w:ascii="Calibri" w:eastAsia="Calibri" w:hAnsi="Calibri" w:cs="Calibri"/>
          <w:b/>
          <w:bCs/>
          <w:sz w:val="24"/>
          <w:szCs w:val="24"/>
        </w:rPr>
        <w:t>LOAD</w:t>
      </w:r>
      <w:r w:rsidRPr="008F7E26">
        <w:rPr>
          <w:rFonts w:ascii="Calibri" w:eastAsia="Calibri" w:hAnsi="Calibri" w:cs="Calibri"/>
          <w:sz w:val="24"/>
          <w:szCs w:val="24"/>
        </w:rPr>
        <w:t xml:space="preserve"> demonstrates an overall upward trend over five years, rising sharply from 274 in 2021–2022, experiencing a brief dip to 356 in 2023–2024, and ultimately peaking at 592 by 2025–2026.</w:t>
      </w:r>
    </w:p>
    <w:p w14:paraId="3117E85B" w14:textId="77777777" w:rsidR="008F7E26" w:rsidRDefault="008F7E26">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0DA0C1BD" w:rsidR="00E34F5A" w:rsidRPr="003777D0" w:rsidRDefault="00CE75D5" w:rsidP="00DF0518">
            <w:pPr>
              <w:rPr>
                <w:sz w:val="24"/>
                <w:szCs w:val="24"/>
              </w:rPr>
            </w:pPr>
            <w:r>
              <w:rPr>
                <w:sz w:val="24"/>
                <w:szCs w:val="24"/>
              </w:rPr>
              <w:t>Less than Part-Time</w:t>
            </w:r>
          </w:p>
        </w:tc>
        <w:tc>
          <w:tcPr>
            <w:tcW w:w="3373" w:type="dxa"/>
          </w:tcPr>
          <w:p w14:paraId="55C494D6" w14:textId="4230B66D" w:rsidR="00E34F5A" w:rsidRPr="003777D0" w:rsidRDefault="00CE75D5" w:rsidP="00DF0518">
            <w:pPr>
              <w:jc w:val="center"/>
              <w:rPr>
                <w:sz w:val="24"/>
                <w:szCs w:val="24"/>
              </w:rPr>
            </w:pPr>
            <w:r>
              <w:rPr>
                <w:sz w:val="24"/>
                <w:szCs w:val="24"/>
              </w:rPr>
              <w:t>-23.1%</w:t>
            </w:r>
          </w:p>
        </w:tc>
        <w:tc>
          <w:tcPr>
            <w:tcW w:w="3240" w:type="dxa"/>
          </w:tcPr>
          <w:p w14:paraId="718EAF0E" w14:textId="7D8D3B96" w:rsidR="00E34F5A" w:rsidRPr="003777D0" w:rsidRDefault="005772D0" w:rsidP="00DF0518">
            <w:pPr>
              <w:jc w:val="center"/>
              <w:rPr>
                <w:sz w:val="24"/>
                <w:szCs w:val="24"/>
              </w:rPr>
            </w:pPr>
            <w:r>
              <w:rPr>
                <w:sz w:val="24"/>
                <w:szCs w:val="24"/>
              </w:rPr>
              <w:t>2021-2022</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7AC6F7A4" w:rsidR="00E34F5A" w:rsidRPr="003777D0" w:rsidRDefault="00CE75D5" w:rsidP="00DF0518">
            <w:pPr>
              <w:jc w:val="center"/>
              <w:rPr>
                <w:sz w:val="24"/>
                <w:szCs w:val="24"/>
              </w:rPr>
            </w:pPr>
            <w:r>
              <w:rPr>
                <w:sz w:val="24"/>
                <w:szCs w:val="24"/>
              </w:rPr>
              <w:t>-23.1%</w:t>
            </w:r>
          </w:p>
        </w:tc>
        <w:tc>
          <w:tcPr>
            <w:tcW w:w="3240" w:type="dxa"/>
          </w:tcPr>
          <w:p w14:paraId="337720A7" w14:textId="7F59C1F9" w:rsidR="00E34F5A" w:rsidRPr="003777D0" w:rsidRDefault="005772D0" w:rsidP="00DF0518">
            <w:pPr>
              <w:jc w:val="center"/>
              <w:rPr>
                <w:sz w:val="24"/>
                <w:szCs w:val="24"/>
              </w:rPr>
            </w:pPr>
            <w:r>
              <w:rPr>
                <w:sz w:val="24"/>
                <w:szCs w:val="24"/>
              </w:rPr>
              <w:t>2022-2023</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220CD7D4" w:rsidR="00E34F5A" w:rsidRPr="003777D0" w:rsidRDefault="00CE75D5" w:rsidP="00DF0518">
            <w:pPr>
              <w:jc w:val="center"/>
              <w:rPr>
                <w:sz w:val="24"/>
                <w:szCs w:val="24"/>
              </w:rPr>
            </w:pPr>
            <w:r>
              <w:rPr>
                <w:sz w:val="24"/>
                <w:szCs w:val="24"/>
              </w:rPr>
              <w:t>-23.1%</w:t>
            </w:r>
          </w:p>
        </w:tc>
        <w:tc>
          <w:tcPr>
            <w:tcW w:w="3240" w:type="dxa"/>
          </w:tcPr>
          <w:p w14:paraId="23474093" w14:textId="4D4BAEB3" w:rsidR="00E34F5A" w:rsidRPr="003777D0" w:rsidRDefault="005772D0" w:rsidP="00DF0518">
            <w:pPr>
              <w:jc w:val="center"/>
              <w:rPr>
                <w:sz w:val="24"/>
                <w:szCs w:val="24"/>
              </w:rPr>
            </w:pPr>
            <w:r>
              <w:rPr>
                <w:sz w:val="24"/>
                <w:szCs w:val="24"/>
              </w:rPr>
              <w:t>2023-2024</w:t>
            </w:r>
          </w:p>
        </w:tc>
      </w:tr>
      <w:tr w:rsidR="00E34F5A" w:rsidRPr="003777D0" w14:paraId="22C80999" w14:textId="77777777" w:rsidTr="00DF0518">
        <w:tc>
          <w:tcPr>
            <w:tcW w:w="1842" w:type="dxa"/>
            <w:vMerge/>
          </w:tcPr>
          <w:p w14:paraId="2D8D84E9" w14:textId="77777777" w:rsidR="00E34F5A" w:rsidRPr="003777D0" w:rsidRDefault="00E34F5A" w:rsidP="00DF0518">
            <w:pPr>
              <w:rPr>
                <w:sz w:val="24"/>
                <w:szCs w:val="24"/>
              </w:rPr>
            </w:pPr>
          </w:p>
        </w:tc>
        <w:tc>
          <w:tcPr>
            <w:tcW w:w="3373" w:type="dxa"/>
          </w:tcPr>
          <w:p w14:paraId="29309D83" w14:textId="0A3A7CAE" w:rsidR="00E34F5A" w:rsidRPr="003777D0" w:rsidRDefault="00CE75D5" w:rsidP="00DF0518">
            <w:pPr>
              <w:jc w:val="center"/>
              <w:rPr>
                <w:sz w:val="24"/>
                <w:szCs w:val="24"/>
              </w:rPr>
            </w:pPr>
            <w:r>
              <w:rPr>
                <w:sz w:val="24"/>
                <w:szCs w:val="24"/>
              </w:rPr>
              <w:t>-31.0</w:t>
            </w:r>
            <w:r w:rsidR="005772D0">
              <w:rPr>
                <w:sz w:val="24"/>
                <w:szCs w:val="24"/>
              </w:rPr>
              <w:t>%</w:t>
            </w:r>
          </w:p>
        </w:tc>
        <w:tc>
          <w:tcPr>
            <w:tcW w:w="3240" w:type="dxa"/>
          </w:tcPr>
          <w:p w14:paraId="49176D47" w14:textId="2D62BB4D" w:rsidR="00E34F5A" w:rsidRPr="003777D0" w:rsidRDefault="005772D0" w:rsidP="00DF0518">
            <w:pPr>
              <w:jc w:val="center"/>
              <w:rPr>
                <w:sz w:val="24"/>
                <w:szCs w:val="24"/>
              </w:rPr>
            </w:pPr>
            <w:r>
              <w:rPr>
                <w:sz w:val="24"/>
                <w:szCs w:val="24"/>
              </w:rPr>
              <w:t>2024-2025</w:t>
            </w:r>
          </w:p>
        </w:tc>
      </w:tr>
      <w:tr w:rsidR="00E34F5A" w:rsidRPr="003777D0" w14:paraId="5ABA74B2" w14:textId="77777777" w:rsidTr="00DF0518">
        <w:tc>
          <w:tcPr>
            <w:tcW w:w="1842" w:type="dxa"/>
            <w:vMerge/>
          </w:tcPr>
          <w:p w14:paraId="6F24ED06" w14:textId="77777777" w:rsidR="00E34F5A" w:rsidRPr="003777D0" w:rsidRDefault="00E34F5A" w:rsidP="00DF0518">
            <w:pPr>
              <w:rPr>
                <w:b/>
                <w:bCs/>
                <w:sz w:val="24"/>
                <w:szCs w:val="24"/>
                <w:u w:val="single"/>
              </w:rPr>
            </w:pPr>
          </w:p>
        </w:tc>
        <w:tc>
          <w:tcPr>
            <w:tcW w:w="3373" w:type="dxa"/>
          </w:tcPr>
          <w:p w14:paraId="76A5F317" w14:textId="2AA1C593" w:rsidR="00E34F5A" w:rsidRPr="003777D0" w:rsidRDefault="005772D0" w:rsidP="00DF0518">
            <w:pPr>
              <w:jc w:val="center"/>
              <w:rPr>
                <w:sz w:val="24"/>
                <w:szCs w:val="24"/>
              </w:rPr>
            </w:pPr>
            <w:r>
              <w:rPr>
                <w:sz w:val="24"/>
                <w:szCs w:val="24"/>
              </w:rPr>
              <w:t>-22.5%</w:t>
            </w:r>
          </w:p>
        </w:tc>
        <w:tc>
          <w:tcPr>
            <w:tcW w:w="3240" w:type="dxa"/>
          </w:tcPr>
          <w:p w14:paraId="576BB98F" w14:textId="4F1C4D8A" w:rsidR="00E34F5A" w:rsidRPr="003777D0" w:rsidRDefault="005772D0" w:rsidP="00DF0518">
            <w:pPr>
              <w:jc w:val="center"/>
              <w:rPr>
                <w:sz w:val="24"/>
                <w:szCs w:val="24"/>
              </w:rPr>
            </w:pPr>
            <w:r>
              <w:rPr>
                <w:sz w:val="24"/>
                <w:szCs w:val="24"/>
              </w:rPr>
              <w:t>2025-2026</w:t>
            </w:r>
          </w:p>
        </w:tc>
      </w:tr>
    </w:tbl>
    <w:p w14:paraId="29BF57F9" w14:textId="77777777" w:rsidR="00A5073A" w:rsidRDefault="00A5073A">
      <w:pPr>
        <w:rPr>
          <w:rFonts w:ascii="Calibri" w:eastAsia="Calibri" w:hAnsi="Calibri" w:cs="Calibri"/>
          <w:sz w:val="24"/>
          <w:szCs w:val="24"/>
        </w:rPr>
      </w:pPr>
    </w:p>
    <w:p w14:paraId="407AA9B4" w14:textId="222ADED4" w:rsidR="00E34F5A" w:rsidRDefault="005772D0">
      <w:pPr>
        <w:rPr>
          <w:rFonts w:ascii="Calibri" w:eastAsia="Calibri" w:hAnsi="Calibri" w:cs="Calibri"/>
          <w:sz w:val="24"/>
          <w:szCs w:val="24"/>
        </w:rPr>
      </w:pPr>
      <w:r w:rsidRPr="005772D0">
        <w:rPr>
          <w:rFonts w:ascii="Calibri" w:eastAsia="Calibri" w:hAnsi="Calibri" w:cs="Calibri"/>
          <w:sz w:val="24"/>
          <w:szCs w:val="24"/>
        </w:rPr>
        <w:t xml:space="preserve">The </w:t>
      </w:r>
      <w:r w:rsidR="00A5073A">
        <w:rPr>
          <w:rFonts w:ascii="Calibri" w:eastAsia="Calibri" w:hAnsi="Calibri" w:cs="Calibri"/>
          <w:sz w:val="24"/>
          <w:szCs w:val="24"/>
          <w:u w:val="single"/>
        </w:rPr>
        <w:t>access</w:t>
      </w:r>
      <w:r w:rsidR="00A5073A" w:rsidRPr="00A5073A">
        <w:rPr>
          <w:rFonts w:ascii="Calibri" w:eastAsia="Calibri" w:hAnsi="Calibri" w:cs="Calibri"/>
          <w:sz w:val="24"/>
          <w:szCs w:val="24"/>
        </w:rPr>
        <w:t xml:space="preserve"> </w:t>
      </w:r>
      <w:r w:rsidRPr="005772D0">
        <w:rPr>
          <w:rFonts w:ascii="Calibri" w:eastAsia="Calibri" w:hAnsi="Calibri" w:cs="Calibri"/>
          <w:sz w:val="24"/>
          <w:szCs w:val="24"/>
        </w:rPr>
        <w:t xml:space="preserve">equity gap for </w:t>
      </w:r>
      <w:r w:rsidR="00A5073A">
        <w:rPr>
          <w:rFonts w:ascii="Calibri" w:eastAsia="Calibri" w:hAnsi="Calibri" w:cs="Calibri"/>
          <w:sz w:val="24"/>
          <w:szCs w:val="24"/>
        </w:rPr>
        <w:t>L</w:t>
      </w:r>
      <w:r w:rsidRPr="005772D0">
        <w:rPr>
          <w:rFonts w:ascii="Calibri" w:eastAsia="Calibri" w:hAnsi="Calibri" w:cs="Calibri"/>
          <w:sz w:val="24"/>
          <w:szCs w:val="24"/>
        </w:rPr>
        <w:t>ess-than-</w:t>
      </w:r>
      <w:r w:rsidR="00A5073A">
        <w:rPr>
          <w:rFonts w:ascii="Calibri" w:eastAsia="Calibri" w:hAnsi="Calibri" w:cs="Calibri"/>
          <w:sz w:val="24"/>
          <w:szCs w:val="24"/>
        </w:rPr>
        <w:t>P</w:t>
      </w:r>
      <w:r w:rsidRPr="005772D0">
        <w:rPr>
          <w:rFonts w:ascii="Calibri" w:eastAsia="Calibri" w:hAnsi="Calibri" w:cs="Calibri"/>
          <w:sz w:val="24"/>
          <w:szCs w:val="24"/>
        </w:rPr>
        <w:t>art-</w:t>
      </w:r>
      <w:r w:rsidR="00A5073A">
        <w:rPr>
          <w:rFonts w:ascii="Calibri" w:eastAsia="Calibri" w:hAnsi="Calibri" w:cs="Calibri"/>
          <w:sz w:val="24"/>
          <w:szCs w:val="24"/>
        </w:rPr>
        <w:t>T</w:t>
      </w:r>
      <w:r w:rsidRPr="005772D0">
        <w:rPr>
          <w:rFonts w:ascii="Calibri" w:eastAsia="Calibri" w:hAnsi="Calibri" w:cs="Calibri"/>
          <w:sz w:val="24"/>
          <w:szCs w:val="24"/>
        </w:rPr>
        <w:t>ime students was the only one observed. It remained relatively stable at -23.1% through 2023–2024, widened sharply to -31.0% in 2024–2025, and then narrowed to its smallest gap of -22.5% in 2025–2026.</w:t>
      </w:r>
    </w:p>
    <w:p w14:paraId="00000045" w14:textId="77777777" w:rsidR="0009573D" w:rsidRDefault="008A7CBB">
      <w:pPr>
        <w:pStyle w:val="Heading2"/>
      </w:pPr>
      <w:bookmarkStart w:id="7" w:name="_t70ry0elr2bp" w:colFirst="0" w:colLast="0"/>
      <w:bookmarkEnd w:id="7"/>
      <w:r>
        <w:t xml:space="preserve"> </w:t>
      </w:r>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lastRenderedPageBreak/>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664FE773" w14:textId="09DCEA3B" w:rsidR="006A04C9" w:rsidRDefault="008F7E26">
      <w:pPr>
        <w:rPr>
          <w:rFonts w:ascii="Calibri" w:eastAsia="Calibri" w:hAnsi="Calibri" w:cs="Calibri"/>
          <w:sz w:val="24"/>
          <w:szCs w:val="24"/>
        </w:rPr>
      </w:pPr>
      <w:r w:rsidRPr="008F7E26">
        <w:rPr>
          <w:rFonts w:ascii="Calibri" w:eastAsia="Calibri" w:hAnsi="Calibri" w:cs="Calibri"/>
          <w:noProof/>
          <w:sz w:val="24"/>
          <w:szCs w:val="24"/>
        </w:rPr>
        <w:drawing>
          <wp:inline distT="0" distB="0" distL="0" distR="0" wp14:anchorId="0DDE6AF8" wp14:editId="7DA49490">
            <wp:extent cx="4151671" cy="4670629"/>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61469" cy="4681651"/>
                    </a:xfrm>
                    <a:prstGeom prst="rect">
                      <a:avLst/>
                    </a:prstGeom>
                  </pic:spPr>
                </pic:pic>
              </a:graphicData>
            </a:graphic>
          </wp:inline>
        </w:drawing>
      </w:r>
    </w:p>
    <w:p w14:paraId="7B128916" w14:textId="2D630296" w:rsidR="008F7E26" w:rsidRDefault="008F7E26">
      <w:pPr>
        <w:rPr>
          <w:rFonts w:ascii="Calibri" w:eastAsia="Calibri" w:hAnsi="Calibri" w:cs="Calibri"/>
          <w:sz w:val="24"/>
          <w:szCs w:val="24"/>
        </w:rPr>
      </w:pPr>
    </w:p>
    <w:p w14:paraId="4A670244" w14:textId="346CD2CB" w:rsidR="00FF05FB" w:rsidRDefault="00FF05FB">
      <w:pPr>
        <w:rPr>
          <w:rFonts w:ascii="Calibri" w:eastAsia="Calibri" w:hAnsi="Calibri" w:cs="Calibri"/>
          <w:sz w:val="24"/>
          <w:szCs w:val="24"/>
        </w:rPr>
      </w:pPr>
      <w:r w:rsidRPr="00FF05FB">
        <w:rPr>
          <w:rFonts w:ascii="Calibri" w:eastAsia="Calibri" w:hAnsi="Calibri" w:cs="Calibri"/>
          <w:sz w:val="24"/>
          <w:szCs w:val="24"/>
        </w:rPr>
        <w:t xml:space="preserve">The </w:t>
      </w:r>
      <w:r w:rsidRPr="00FF05FB">
        <w:rPr>
          <w:rFonts w:ascii="Calibri" w:eastAsia="Calibri" w:hAnsi="Calibri" w:cs="Calibri"/>
          <w:b/>
          <w:bCs/>
          <w:sz w:val="24"/>
          <w:szCs w:val="24"/>
        </w:rPr>
        <w:t>Success Rate</w:t>
      </w:r>
      <w:r w:rsidRPr="00FF05FB">
        <w:rPr>
          <w:rFonts w:ascii="Calibri" w:eastAsia="Calibri" w:hAnsi="Calibri" w:cs="Calibri"/>
          <w:sz w:val="24"/>
          <w:szCs w:val="24"/>
        </w:rPr>
        <w:t xml:space="preserve"> shows an overall decline from a high of 91% in 2021–2022 to a low of 73% by 2025–2026, while the </w:t>
      </w:r>
      <w:r w:rsidRPr="00FF05FB">
        <w:rPr>
          <w:rFonts w:ascii="Calibri" w:eastAsia="Calibri" w:hAnsi="Calibri" w:cs="Calibri"/>
          <w:b/>
          <w:bCs/>
          <w:sz w:val="24"/>
          <w:szCs w:val="24"/>
        </w:rPr>
        <w:t>Withdraw Rate</w:t>
      </w:r>
      <w:r w:rsidRPr="00FF05FB">
        <w:rPr>
          <w:rFonts w:ascii="Calibri" w:eastAsia="Calibri" w:hAnsi="Calibri" w:cs="Calibri"/>
          <w:sz w:val="24"/>
          <w:szCs w:val="24"/>
        </w:rPr>
        <w:t xml:space="preserve"> inverse-peaks at 16% in 2023–2024 before settling back down to 6%.</w:t>
      </w:r>
    </w:p>
    <w:p w14:paraId="5DC889B7" w14:textId="77777777" w:rsidR="00670051" w:rsidRDefault="00670051" w:rsidP="006A04C9">
      <w:pPr>
        <w:rPr>
          <w:rFonts w:ascii="Calibri" w:eastAsia="Calibri" w:hAnsi="Calibri" w:cs="Calibri"/>
          <w:sz w:val="24"/>
          <w:szCs w:val="24"/>
        </w:rPr>
      </w:pP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670051" w:rsidRPr="003777D0" w14:paraId="073F6A46" w14:textId="77777777" w:rsidTr="00DF0518">
        <w:tc>
          <w:tcPr>
            <w:tcW w:w="2605" w:type="dxa"/>
            <w:vAlign w:val="center"/>
          </w:tcPr>
          <w:p w14:paraId="711E376A" w14:textId="757C5A3B" w:rsidR="00670051" w:rsidRPr="003777D0" w:rsidRDefault="00BD0588" w:rsidP="00DF0518">
            <w:pPr>
              <w:rPr>
                <w:sz w:val="24"/>
                <w:szCs w:val="24"/>
              </w:rPr>
            </w:pPr>
            <w:r>
              <w:rPr>
                <w:sz w:val="24"/>
                <w:szCs w:val="24"/>
              </w:rPr>
              <w:t>Low Income</w:t>
            </w:r>
          </w:p>
        </w:tc>
        <w:tc>
          <w:tcPr>
            <w:tcW w:w="2610" w:type="dxa"/>
            <w:vAlign w:val="center"/>
          </w:tcPr>
          <w:p w14:paraId="2F40E0B5" w14:textId="55A50C3E" w:rsidR="00670051" w:rsidRPr="003777D0" w:rsidRDefault="00BD0588" w:rsidP="00DF0518">
            <w:pPr>
              <w:jc w:val="center"/>
              <w:rPr>
                <w:sz w:val="24"/>
                <w:szCs w:val="24"/>
              </w:rPr>
            </w:pPr>
            <w:r>
              <w:rPr>
                <w:sz w:val="24"/>
                <w:szCs w:val="24"/>
              </w:rPr>
              <w:t>-27.2%</w:t>
            </w:r>
          </w:p>
        </w:tc>
        <w:tc>
          <w:tcPr>
            <w:tcW w:w="3240" w:type="dxa"/>
            <w:vAlign w:val="center"/>
          </w:tcPr>
          <w:p w14:paraId="66F95BB0" w14:textId="591D6A63" w:rsidR="00670051" w:rsidRPr="003777D0" w:rsidRDefault="00BD0588" w:rsidP="00DF0518">
            <w:pPr>
              <w:jc w:val="center"/>
              <w:rPr>
                <w:sz w:val="24"/>
                <w:szCs w:val="24"/>
              </w:rPr>
            </w:pPr>
            <w:r>
              <w:rPr>
                <w:sz w:val="24"/>
                <w:szCs w:val="24"/>
              </w:rPr>
              <w:t>2024-25</w:t>
            </w:r>
          </w:p>
        </w:tc>
      </w:tr>
    </w:tbl>
    <w:p w14:paraId="02752BF0" w14:textId="77777777" w:rsidR="00BD0588" w:rsidRDefault="00BD0588" w:rsidP="00670051">
      <w:pPr>
        <w:rPr>
          <w:sz w:val="24"/>
          <w:szCs w:val="24"/>
        </w:rPr>
      </w:pPr>
    </w:p>
    <w:p w14:paraId="1865FC69" w14:textId="41612B9B" w:rsidR="00670051" w:rsidRPr="00A5073A" w:rsidRDefault="00A5073A" w:rsidP="00670051">
      <w:pPr>
        <w:rPr>
          <w:rFonts w:asciiTheme="majorHAnsi" w:hAnsiTheme="majorHAnsi" w:cstheme="majorHAnsi"/>
          <w:sz w:val="24"/>
          <w:szCs w:val="24"/>
        </w:rPr>
      </w:pPr>
      <w:r w:rsidRPr="00A5073A">
        <w:rPr>
          <w:rFonts w:asciiTheme="majorHAnsi" w:hAnsiTheme="majorHAnsi" w:cstheme="majorHAnsi"/>
          <w:sz w:val="24"/>
          <w:szCs w:val="24"/>
        </w:rPr>
        <w:t>The</w:t>
      </w:r>
      <w:r w:rsidR="00BD0588" w:rsidRPr="00A5073A">
        <w:rPr>
          <w:rFonts w:asciiTheme="majorHAnsi" w:hAnsiTheme="majorHAnsi" w:cstheme="majorHAnsi"/>
          <w:sz w:val="24"/>
          <w:szCs w:val="24"/>
        </w:rPr>
        <w:t xml:space="preserve"> only equity gap </w:t>
      </w:r>
      <w:r w:rsidRPr="00A5073A">
        <w:rPr>
          <w:rFonts w:asciiTheme="majorHAnsi" w:hAnsiTheme="majorHAnsi" w:cstheme="majorHAnsi"/>
          <w:sz w:val="24"/>
          <w:szCs w:val="24"/>
        </w:rPr>
        <w:t xml:space="preserve">in course success rates was </w:t>
      </w:r>
      <w:r w:rsidR="00BD0588" w:rsidRPr="00A5073A">
        <w:rPr>
          <w:rFonts w:asciiTheme="majorHAnsi" w:hAnsiTheme="majorHAnsi" w:cstheme="majorHAnsi"/>
          <w:sz w:val="24"/>
          <w:szCs w:val="24"/>
        </w:rPr>
        <w:t>observed among low-income students in 2024–2025.</w:t>
      </w:r>
    </w:p>
    <w:p w14:paraId="684D4484" w14:textId="77777777" w:rsidR="00BD0588" w:rsidRPr="003777D0" w:rsidRDefault="00BD0588"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8A13063" w:rsidR="00670051" w:rsidRDefault="00740940" w:rsidP="006A04C9">
      <w:pPr>
        <w:rPr>
          <w:rFonts w:ascii="Calibri" w:eastAsia="Calibri" w:hAnsi="Calibri" w:cs="Calibri"/>
          <w:sz w:val="24"/>
          <w:szCs w:val="24"/>
        </w:rPr>
      </w:pPr>
      <w:r w:rsidRPr="00740940">
        <w:rPr>
          <w:rFonts w:ascii="Calibri" w:eastAsia="Calibri" w:hAnsi="Calibri" w:cs="Calibri"/>
          <w:sz w:val="24"/>
          <w:szCs w:val="24"/>
        </w:rPr>
        <w:t>Course withdrawal rates show no equity gaps.</w:t>
      </w:r>
    </w:p>
    <w:p w14:paraId="5ACA4950" w14:textId="77777777" w:rsidR="00740940" w:rsidRDefault="00740940" w:rsidP="006A04C9">
      <w:pPr>
        <w:rPr>
          <w:rFonts w:ascii="Calibri" w:eastAsia="Calibri" w:hAnsi="Calibri" w:cs="Calibri"/>
          <w:sz w:val="24"/>
          <w:szCs w:val="24"/>
        </w:rPr>
      </w:pPr>
    </w:p>
    <w:p w14:paraId="18A271A0" w14:textId="1F3388D9"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38067695" w14:textId="77777777" w:rsidR="006E376F" w:rsidRDefault="006E376F">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0" w:name="_7fev198ux36p" w:colFirst="0" w:colLast="0"/>
      <w:bookmarkEnd w:id="10"/>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7F8EDFCA" w:rsidR="001B1EF1" w:rsidRDefault="00A5073A">
      <w:pPr>
        <w:spacing w:after="240"/>
        <w:rPr>
          <w:rFonts w:ascii="Calibri" w:eastAsia="Calibri" w:hAnsi="Calibri" w:cs="Calibri"/>
        </w:rPr>
      </w:pPr>
      <w:r w:rsidRPr="00A5073A">
        <w:rPr>
          <w:rFonts w:ascii="Calibri" w:eastAsia="Calibri" w:hAnsi="Calibri" w:cs="Calibri"/>
        </w:rPr>
        <w:lastRenderedPageBreak/>
        <w:drawing>
          <wp:inline distT="0" distB="0" distL="0" distR="0" wp14:anchorId="272C4883" wp14:editId="535C44D9">
            <wp:extent cx="4076512" cy="4545572"/>
            <wp:effectExtent l="0" t="0" r="63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83036" cy="4552846"/>
                    </a:xfrm>
                    <a:prstGeom prst="rect">
                      <a:avLst/>
                    </a:prstGeom>
                  </pic:spPr>
                </pic:pic>
              </a:graphicData>
            </a:graphic>
          </wp:inline>
        </w:drawing>
      </w:r>
    </w:p>
    <w:p w14:paraId="7219B9EB" w14:textId="51E94F0C" w:rsidR="00FF05FB" w:rsidRPr="00FF05FB" w:rsidRDefault="00A5073A" w:rsidP="00FF05FB">
      <w:pPr>
        <w:spacing w:after="240"/>
        <w:rPr>
          <w:rFonts w:ascii="Calibri" w:eastAsia="Calibri" w:hAnsi="Calibri" w:cs="Calibri"/>
          <w:lang w:val="en-US"/>
        </w:rPr>
      </w:pPr>
      <w:r>
        <w:rPr>
          <w:rFonts w:ascii="Calibri" w:eastAsia="Calibri" w:hAnsi="Calibri" w:cs="Calibri"/>
          <w:lang w:val="en-US"/>
        </w:rPr>
        <w:t>Library courses were only offered in the online modality during the period. Course success rates in those courses declined over the period from 91% to 73%.</w:t>
      </w:r>
    </w:p>
    <w:p w14:paraId="15CBC942" w14:textId="77777777" w:rsidR="00163B9F" w:rsidRDefault="00163B9F"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740940">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740940" w:rsidRPr="003777D0" w14:paraId="3F0598F2" w14:textId="77777777" w:rsidTr="00740940">
        <w:tc>
          <w:tcPr>
            <w:tcW w:w="1559" w:type="dxa"/>
            <w:vAlign w:val="center"/>
          </w:tcPr>
          <w:p w14:paraId="54464E9D" w14:textId="2247DF56" w:rsidR="00740940" w:rsidRPr="003777D0" w:rsidRDefault="00740940" w:rsidP="00740940">
            <w:pPr>
              <w:rPr>
                <w:sz w:val="24"/>
                <w:szCs w:val="24"/>
              </w:rPr>
            </w:pPr>
            <w:r>
              <w:rPr>
                <w:sz w:val="24"/>
                <w:szCs w:val="24"/>
              </w:rPr>
              <w:t>Low Income</w:t>
            </w:r>
          </w:p>
        </w:tc>
        <w:tc>
          <w:tcPr>
            <w:tcW w:w="1157" w:type="dxa"/>
            <w:vAlign w:val="center"/>
          </w:tcPr>
          <w:p w14:paraId="2842D080" w14:textId="059411CE" w:rsidR="00740940" w:rsidRPr="003777D0" w:rsidRDefault="00740940" w:rsidP="00740940">
            <w:pPr>
              <w:jc w:val="center"/>
              <w:rPr>
                <w:sz w:val="24"/>
                <w:szCs w:val="24"/>
              </w:rPr>
            </w:pPr>
            <w:r>
              <w:rPr>
                <w:sz w:val="24"/>
                <w:szCs w:val="24"/>
              </w:rPr>
              <w:t>-27.2%</w:t>
            </w:r>
          </w:p>
        </w:tc>
        <w:tc>
          <w:tcPr>
            <w:tcW w:w="1342" w:type="dxa"/>
            <w:vAlign w:val="center"/>
          </w:tcPr>
          <w:p w14:paraId="264594D2" w14:textId="6B21C408" w:rsidR="00740940" w:rsidRPr="003777D0" w:rsidRDefault="00740940" w:rsidP="00740940">
            <w:pPr>
              <w:jc w:val="center"/>
              <w:rPr>
                <w:sz w:val="24"/>
                <w:szCs w:val="24"/>
              </w:rPr>
            </w:pPr>
            <w:r>
              <w:rPr>
                <w:sz w:val="24"/>
                <w:szCs w:val="24"/>
              </w:rPr>
              <w:t>-27.2%</w:t>
            </w:r>
          </w:p>
        </w:tc>
        <w:tc>
          <w:tcPr>
            <w:tcW w:w="1317" w:type="dxa"/>
            <w:vAlign w:val="center"/>
          </w:tcPr>
          <w:p w14:paraId="566AF95B" w14:textId="77777777" w:rsidR="00740940" w:rsidRPr="003777D0" w:rsidRDefault="00740940" w:rsidP="00740940">
            <w:pPr>
              <w:jc w:val="center"/>
              <w:rPr>
                <w:sz w:val="24"/>
                <w:szCs w:val="24"/>
              </w:rPr>
            </w:pPr>
          </w:p>
        </w:tc>
        <w:tc>
          <w:tcPr>
            <w:tcW w:w="1317" w:type="dxa"/>
            <w:vAlign w:val="center"/>
          </w:tcPr>
          <w:p w14:paraId="60ECF352" w14:textId="77777777" w:rsidR="00740940" w:rsidRPr="003777D0" w:rsidRDefault="00740940" w:rsidP="00740940">
            <w:pPr>
              <w:jc w:val="center"/>
              <w:rPr>
                <w:sz w:val="24"/>
                <w:szCs w:val="24"/>
              </w:rPr>
            </w:pPr>
          </w:p>
        </w:tc>
        <w:tc>
          <w:tcPr>
            <w:tcW w:w="1584" w:type="dxa"/>
            <w:vAlign w:val="center"/>
          </w:tcPr>
          <w:p w14:paraId="7D3F73C4" w14:textId="77777777" w:rsidR="00740940" w:rsidRPr="003777D0" w:rsidRDefault="00740940" w:rsidP="00740940">
            <w:pPr>
              <w:jc w:val="center"/>
              <w:rPr>
                <w:sz w:val="24"/>
                <w:szCs w:val="24"/>
              </w:rPr>
            </w:pPr>
          </w:p>
        </w:tc>
        <w:tc>
          <w:tcPr>
            <w:tcW w:w="1074" w:type="dxa"/>
            <w:vAlign w:val="center"/>
          </w:tcPr>
          <w:p w14:paraId="06492463" w14:textId="2E682EB7" w:rsidR="00740940" w:rsidRPr="003777D0" w:rsidRDefault="00740940" w:rsidP="00740940">
            <w:pPr>
              <w:jc w:val="center"/>
              <w:rPr>
                <w:sz w:val="24"/>
                <w:szCs w:val="24"/>
              </w:rPr>
            </w:pPr>
            <w:r>
              <w:rPr>
                <w:sz w:val="24"/>
                <w:szCs w:val="24"/>
              </w:rPr>
              <w:t>2024-25</w:t>
            </w:r>
          </w:p>
        </w:tc>
      </w:tr>
    </w:tbl>
    <w:p w14:paraId="3369EBB0" w14:textId="77777777" w:rsidR="003552D3" w:rsidRDefault="003552D3" w:rsidP="00E35855">
      <w:pPr>
        <w:rPr>
          <w:b/>
          <w:bCs/>
          <w:sz w:val="24"/>
          <w:szCs w:val="24"/>
        </w:rPr>
      </w:pPr>
    </w:p>
    <w:p w14:paraId="636E6066" w14:textId="57A36BC3" w:rsidR="00E35855" w:rsidRPr="003552D3" w:rsidRDefault="003552D3" w:rsidP="00E35855">
      <w:pPr>
        <w:rPr>
          <w:sz w:val="24"/>
          <w:szCs w:val="24"/>
        </w:rPr>
      </w:pPr>
      <w:r w:rsidRPr="00A5073A">
        <w:rPr>
          <w:rFonts w:asciiTheme="majorHAnsi" w:hAnsiTheme="majorHAnsi" w:cstheme="majorHAnsi"/>
          <w:sz w:val="24"/>
          <w:szCs w:val="24"/>
        </w:rPr>
        <w:t>The only equity gap was for low-income students taking online courses in 2024–2025.</w:t>
      </w:r>
    </w:p>
    <w:p w14:paraId="4C2DB170" w14:textId="77777777" w:rsidR="00CA37AE" w:rsidRPr="003552D3" w:rsidRDefault="00CA37AE" w:rsidP="001B1EF1">
      <w:pPr>
        <w:rPr>
          <w:rFonts w:ascii="Calibri" w:eastAsia="Calibri" w:hAnsi="Calibri" w:cs="Calibri"/>
          <w:sz w:val="24"/>
          <w:szCs w:val="24"/>
        </w:rPr>
      </w:pPr>
    </w:p>
    <w:p w14:paraId="0000007D" w14:textId="77777777" w:rsidR="0009573D" w:rsidRDefault="008A7CBB">
      <w:pPr>
        <w:rPr>
          <w:rFonts w:ascii="Calibri" w:eastAsia="Calibri" w:hAnsi="Calibri" w:cs="Calibri"/>
          <w:sz w:val="24"/>
          <w:szCs w:val="24"/>
        </w:rPr>
      </w:pPr>
      <w:bookmarkStart w:id="11" w:name="_xjixceugtdxs" w:colFirst="0" w:colLast="0"/>
      <w:bookmarkEnd w:id="11"/>
      <w:r>
        <w:rPr>
          <w:rFonts w:ascii="Calibri" w:eastAsia="Calibri" w:hAnsi="Calibri" w:cs="Calibri"/>
          <w:sz w:val="24"/>
          <w:szCs w:val="24"/>
        </w:rPr>
        <w:lastRenderedPageBreak/>
        <w:t xml:space="preserve"> </w:t>
      </w:r>
    </w:p>
    <w:p w14:paraId="0000007E" w14:textId="77777777" w:rsidR="0009573D" w:rsidRDefault="008A7CBB">
      <w:pPr>
        <w:pStyle w:val="Heading2"/>
        <w:keepNext w:val="0"/>
        <w:keepLines w:val="0"/>
        <w:rPr>
          <w:sz w:val="22"/>
          <w:szCs w:val="22"/>
          <w:u w:val="single"/>
        </w:rPr>
      </w:pPr>
      <w:bookmarkStart w:id="12" w:name="_x61wl580t1lz" w:colFirst="0" w:colLast="0"/>
      <w:bookmarkEnd w:id="12"/>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3158B" w14:textId="77777777" w:rsidR="003A5017" w:rsidRDefault="003A5017">
      <w:pPr>
        <w:spacing w:line="240" w:lineRule="auto"/>
      </w:pPr>
      <w:r>
        <w:separator/>
      </w:r>
    </w:p>
  </w:endnote>
  <w:endnote w:type="continuationSeparator" w:id="0">
    <w:p w14:paraId="13E7C840" w14:textId="77777777" w:rsidR="003A5017" w:rsidRDefault="003A50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8252825-946C-4B8F-9067-21F1301FF39A}"/>
    <w:embedBold r:id="rId2" w:fontKey="{B2E1FC98-DBD0-4221-9A34-5D3DBBDE4D61}"/>
    <w:embedItalic r:id="rId3" w:fontKey="{E62183F5-CA98-4893-B0CD-10DEA654B8CF}"/>
    <w:embedBoldItalic r:id="rId4" w:fontKey="{8F9E357C-0A23-499B-8CD4-2FCA9D174B5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80A230DF-F26D-4A64-9BCB-B69E73874CD6}"/>
  </w:font>
  <w:font w:name="Roboto">
    <w:charset w:val="00"/>
    <w:family w:val="auto"/>
    <w:pitch w:val="variable"/>
    <w:sig w:usb0="E00002FF" w:usb1="5000205B" w:usb2="00000020" w:usb3="00000000" w:csb0="0000019F" w:csb1="00000000"/>
    <w:embedRegular r:id="rId6" w:fontKey="{3ADD679F-8787-4DF9-B4E8-B9DD4D88FACA}"/>
  </w:font>
  <w:font w:name="Cambria">
    <w:panose1 w:val="02040503050406030204"/>
    <w:charset w:val="00"/>
    <w:family w:val="roman"/>
    <w:pitch w:val="variable"/>
    <w:sig w:usb0="E00006FF" w:usb1="420024FF" w:usb2="02000000" w:usb3="00000000" w:csb0="0000019F" w:csb1="00000000"/>
    <w:embedRegular r:id="rId7" w:fontKey="{7F76828C-284C-4733-96E1-2AD463DD0E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9FE5A" w14:textId="77777777" w:rsidR="003A5017" w:rsidRDefault="003A5017">
      <w:pPr>
        <w:spacing w:line="240" w:lineRule="auto"/>
      </w:pPr>
      <w:r>
        <w:separator/>
      </w:r>
    </w:p>
  </w:footnote>
  <w:footnote w:type="continuationSeparator" w:id="0">
    <w:p w14:paraId="02A61929" w14:textId="77777777" w:rsidR="003A5017" w:rsidRDefault="003A50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53C17"/>
    <w:rsid w:val="000740C9"/>
    <w:rsid w:val="0009573D"/>
    <w:rsid w:val="000978C9"/>
    <w:rsid w:val="00097A6A"/>
    <w:rsid w:val="000C3CE7"/>
    <w:rsid w:val="000D23B6"/>
    <w:rsid w:val="000D3E58"/>
    <w:rsid w:val="000D5AD0"/>
    <w:rsid w:val="0011212F"/>
    <w:rsid w:val="00136E5D"/>
    <w:rsid w:val="00163B9F"/>
    <w:rsid w:val="001812B5"/>
    <w:rsid w:val="001A6C6B"/>
    <w:rsid w:val="001B1EF1"/>
    <w:rsid w:val="001B59EC"/>
    <w:rsid w:val="001B7446"/>
    <w:rsid w:val="00244974"/>
    <w:rsid w:val="00275B98"/>
    <w:rsid w:val="002A684B"/>
    <w:rsid w:val="002A74F6"/>
    <w:rsid w:val="003552D3"/>
    <w:rsid w:val="00356980"/>
    <w:rsid w:val="003A5017"/>
    <w:rsid w:val="00444F46"/>
    <w:rsid w:val="00457D52"/>
    <w:rsid w:val="00576408"/>
    <w:rsid w:val="005772D0"/>
    <w:rsid w:val="005B5B82"/>
    <w:rsid w:val="005B6357"/>
    <w:rsid w:val="005C3B06"/>
    <w:rsid w:val="005D3549"/>
    <w:rsid w:val="005E0B58"/>
    <w:rsid w:val="00604FA9"/>
    <w:rsid w:val="00670051"/>
    <w:rsid w:val="006758CE"/>
    <w:rsid w:val="006A04C9"/>
    <w:rsid w:val="006E376F"/>
    <w:rsid w:val="006E42B9"/>
    <w:rsid w:val="007141F2"/>
    <w:rsid w:val="00740940"/>
    <w:rsid w:val="007622A3"/>
    <w:rsid w:val="007B7ABF"/>
    <w:rsid w:val="007F5618"/>
    <w:rsid w:val="008417BF"/>
    <w:rsid w:val="00854133"/>
    <w:rsid w:val="0086324D"/>
    <w:rsid w:val="008900A4"/>
    <w:rsid w:val="008A7CBB"/>
    <w:rsid w:val="008B3C69"/>
    <w:rsid w:val="008C7825"/>
    <w:rsid w:val="008E1D14"/>
    <w:rsid w:val="008F7E26"/>
    <w:rsid w:val="009111E1"/>
    <w:rsid w:val="0095579D"/>
    <w:rsid w:val="00960785"/>
    <w:rsid w:val="0099310A"/>
    <w:rsid w:val="009E3890"/>
    <w:rsid w:val="009F22FE"/>
    <w:rsid w:val="00A046B0"/>
    <w:rsid w:val="00A10C66"/>
    <w:rsid w:val="00A5073A"/>
    <w:rsid w:val="00A51ECC"/>
    <w:rsid w:val="00A576AA"/>
    <w:rsid w:val="00B164F3"/>
    <w:rsid w:val="00B26CF9"/>
    <w:rsid w:val="00B37582"/>
    <w:rsid w:val="00BA47C7"/>
    <w:rsid w:val="00BD0588"/>
    <w:rsid w:val="00BF5200"/>
    <w:rsid w:val="00C126EB"/>
    <w:rsid w:val="00C25185"/>
    <w:rsid w:val="00C87219"/>
    <w:rsid w:val="00C960DA"/>
    <w:rsid w:val="00CA37AE"/>
    <w:rsid w:val="00CE75D5"/>
    <w:rsid w:val="00D77889"/>
    <w:rsid w:val="00D93B74"/>
    <w:rsid w:val="00DA0629"/>
    <w:rsid w:val="00DE11D0"/>
    <w:rsid w:val="00E34F5A"/>
    <w:rsid w:val="00E35855"/>
    <w:rsid w:val="00E535BF"/>
    <w:rsid w:val="00E723DF"/>
    <w:rsid w:val="00E76355"/>
    <w:rsid w:val="00F40FCC"/>
    <w:rsid w:val="00F575A4"/>
    <w:rsid w:val="00F70C9E"/>
    <w:rsid w:val="00F96F20"/>
    <w:rsid w:val="00F975DE"/>
    <w:rsid w:val="00FF0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 w:id="1501889081">
      <w:bodyDiv w:val="1"/>
      <w:marLeft w:val="0"/>
      <w:marRight w:val="0"/>
      <w:marTop w:val="0"/>
      <w:marBottom w:val="0"/>
      <w:divBdr>
        <w:top w:val="none" w:sz="0" w:space="0" w:color="auto"/>
        <w:left w:val="none" w:sz="0" w:space="0" w:color="auto"/>
        <w:bottom w:val="none" w:sz="0" w:space="0" w:color="auto"/>
        <w:right w:val="none" w:sz="0" w:space="0" w:color="auto"/>
      </w:divBdr>
      <w:divsChild>
        <w:div w:id="945650942">
          <w:marLeft w:val="0"/>
          <w:marRight w:val="0"/>
          <w:marTop w:val="0"/>
          <w:marBottom w:val="0"/>
          <w:divBdr>
            <w:top w:val="none" w:sz="0" w:space="0" w:color="auto"/>
            <w:left w:val="none" w:sz="0" w:space="0" w:color="auto"/>
            <w:bottom w:val="none" w:sz="0" w:space="0" w:color="auto"/>
            <w:right w:val="none" w:sz="0" w:space="0" w:color="auto"/>
          </w:divBdr>
          <w:divsChild>
            <w:div w:id="19211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1295</Words>
  <Characters>7382</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2</cp:revision>
  <dcterms:created xsi:type="dcterms:W3CDTF">2026-08-03T18:43:00Z</dcterms:created>
  <dcterms:modified xsi:type="dcterms:W3CDTF">2026-08-03T18:43:00Z</dcterms:modified>
</cp:coreProperties>
</file>