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809B771" w14:textId="707C0A3D" w:rsidR="006E376F" w:rsidRPr="006E376F" w:rsidRDefault="003D3D3F" w:rsidP="006E376F">
      <w:pPr>
        <w:jc w:val="center"/>
        <w:rPr>
          <w:rFonts w:ascii="Calibri" w:eastAsia="Calibri" w:hAnsi="Calibri" w:cs="Calibri"/>
          <w:b/>
          <w:bCs/>
          <w:sz w:val="44"/>
          <w:szCs w:val="44"/>
        </w:rPr>
      </w:pPr>
      <w:r>
        <w:rPr>
          <w:rFonts w:ascii="Calibri" w:eastAsia="Calibri" w:hAnsi="Calibri" w:cs="Calibri"/>
          <w:b/>
          <w:bCs/>
          <w:sz w:val="44"/>
          <w:szCs w:val="44"/>
        </w:rPr>
        <w:t>Kinesiology</w:t>
      </w: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8"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9"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Pr="001A10BB" w:rsidRDefault="00C960DA" w:rsidP="001B7446">
      <w:pPr>
        <w:rPr>
          <w:rFonts w:asciiTheme="majorHAnsi" w:hAnsiTheme="majorHAnsi" w:cstheme="majorHAnsi"/>
        </w:rPr>
      </w:pPr>
      <w:r w:rsidRPr="001A10BB">
        <w:rPr>
          <w:rFonts w:asciiTheme="majorHAnsi" w:hAnsiTheme="majorHAnsi" w:cstheme="majorHAnsi"/>
          <w:highlight w:val="yellow"/>
        </w:rPr>
        <w:t xml:space="preserve">Program Maps are available on the Cañada College website </w:t>
      </w:r>
      <w:hyperlink r:id="rId10" w:history="1">
        <w:r w:rsidRPr="001A10BB">
          <w:rPr>
            <w:rStyle w:val="Hyperlink"/>
            <w:rFonts w:asciiTheme="majorHAnsi" w:hAnsiTheme="majorHAnsi" w:cstheme="majorHAnsi"/>
            <w:highlight w:val="yellow"/>
          </w:rPr>
          <w:t>here</w:t>
        </w:r>
      </w:hyperlink>
      <w:r w:rsidRPr="001A10BB">
        <w:rPr>
          <w:rFonts w:asciiTheme="majorHAnsi" w:hAnsiTheme="majorHAnsi" w:cstheme="majorHAnsi"/>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1"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31261210" w14:textId="77777777" w:rsidR="003D3D3F" w:rsidRDefault="003D3D3F">
      <w:pPr>
        <w:rPr>
          <w:rFonts w:ascii="Calibri" w:eastAsia="Calibri" w:hAnsi="Calibri" w:cs="Calibri"/>
          <w:b/>
          <w:bCs/>
          <w:sz w:val="24"/>
          <w:szCs w:val="24"/>
        </w:rPr>
      </w:pPr>
      <w:r w:rsidRPr="003D3D3F">
        <w:rPr>
          <w:rFonts w:ascii="Calibri" w:eastAsia="Calibri" w:hAnsi="Calibri" w:cs="Calibri"/>
          <w:b/>
          <w:bCs/>
          <w:noProof/>
          <w:sz w:val="24"/>
          <w:szCs w:val="24"/>
        </w:rPr>
        <w:drawing>
          <wp:inline distT="0" distB="0" distL="0" distR="0" wp14:anchorId="105AAF5A" wp14:editId="0205C20D">
            <wp:extent cx="4286848" cy="303889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86848" cy="3038899"/>
                    </a:xfrm>
                    <a:prstGeom prst="rect">
                      <a:avLst/>
                    </a:prstGeom>
                  </pic:spPr>
                </pic:pic>
              </a:graphicData>
            </a:graphic>
          </wp:inline>
        </w:drawing>
      </w:r>
    </w:p>
    <w:p w14:paraId="728EE3D9" w14:textId="77777777" w:rsidR="003D3D3F" w:rsidRDefault="003D3D3F">
      <w:pPr>
        <w:rPr>
          <w:rFonts w:ascii="Calibri" w:eastAsia="Calibri" w:hAnsi="Calibri" w:cs="Calibri"/>
          <w:b/>
          <w:bCs/>
          <w:sz w:val="24"/>
          <w:szCs w:val="24"/>
        </w:rPr>
      </w:pPr>
      <w:r w:rsidRPr="003D3D3F">
        <w:rPr>
          <w:rFonts w:ascii="Calibri" w:eastAsia="Calibri" w:hAnsi="Calibri" w:cs="Calibri"/>
          <w:sz w:val="24"/>
          <w:szCs w:val="24"/>
        </w:rPr>
        <w:lastRenderedPageBreak/>
        <w:t xml:space="preserve">Overall trend is strongly positive. Both Enrollment and headcount saw significant growth over the five-year period. </w:t>
      </w:r>
    </w:p>
    <w:p w14:paraId="072E4D44" w14:textId="77777777" w:rsidR="003D3D3F" w:rsidRDefault="003D3D3F">
      <w:pPr>
        <w:rPr>
          <w:rFonts w:ascii="Calibri" w:eastAsia="Calibri" w:hAnsi="Calibri" w:cs="Calibri"/>
          <w:b/>
          <w:bCs/>
          <w:sz w:val="24"/>
          <w:szCs w:val="24"/>
        </w:rPr>
      </w:pPr>
    </w:p>
    <w:p w14:paraId="00A3BAAA" w14:textId="77777777" w:rsidR="003D3D3F" w:rsidRDefault="003D3D3F">
      <w:pPr>
        <w:rPr>
          <w:rFonts w:ascii="Calibri" w:eastAsia="Calibri" w:hAnsi="Calibri" w:cs="Calibri"/>
          <w:b/>
          <w:bCs/>
          <w:sz w:val="24"/>
          <w:szCs w:val="24"/>
        </w:rPr>
      </w:pPr>
      <w:r w:rsidRPr="003D3D3F">
        <w:rPr>
          <w:rFonts w:ascii="Calibri" w:eastAsia="Calibri" w:hAnsi="Calibri" w:cs="Calibri"/>
          <w:b/>
          <w:bCs/>
          <w:noProof/>
          <w:sz w:val="24"/>
          <w:szCs w:val="24"/>
        </w:rPr>
        <w:drawing>
          <wp:inline distT="0" distB="0" distL="0" distR="0" wp14:anchorId="1AF9FAB1" wp14:editId="2E7CAF45">
            <wp:extent cx="5029200" cy="33983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33614" cy="3401374"/>
                    </a:xfrm>
                    <a:prstGeom prst="rect">
                      <a:avLst/>
                    </a:prstGeom>
                  </pic:spPr>
                </pic:pic>
              </a:graphicData>
            </a:graphic>
          </wp:inline>
        </w:drawing>
      </w:r>
    </w:p>
    <w:p w14:paraId="247F3046" w14:textId="0F821ED6" w:rsidR="003D3D3F" w:rsidRDefault="003D3D3F">
      <w:pPr>
        <w:rPr>
          <w:rFonts w:ascii="Calibri" w:eastAsia="Calibri" w:hAnsi="Calibri" w:cs="Calibri"/>
          <w:b/>
          <w:bCs/>
          <w:sz w:val="24"/>
          <w:szCs w:val="24"/>
        </w:rPr>
      </w:pPr>
      <w:r w:rsidRPr="003D3D3F">
        <w:t xml:space="preserve">Overall trend is strongly positive. FTES demonstrated continuous year-over-year growth, while FTEF remained </w:t>
      </w:r>
      <w:r w:rsidR="001A10BB">
        <w:t>at one.</w:t>
      </w:r>
    </w:p>
    <w:p w14:paraId="478096F9" w14:textId="77777777" w:rsidR="003D3D3F" w:rsidRDefault="003D3D3F">
      <w:pPr>
        <w:rPr>
          <w:rFonts w:ascii="Calibri" w:eastAsia="Calibri" w:hAnsi="Calibri" w:cs="Calibri"/>
          <w:b/>
          <w:bCs/>
          <w:sz w:val="24"/>
          <w:szCs w:val="24"/>
        </w:rPr>
      </w:pPr>
    </w:p>
    <w:p w14:paraId="6DED2FF7" w14:textId="77777777" w:rsidR="003D3D3F" w:rsidRDefault="003D3D3F">
      <w:pPr>
        <w:rPr>
          <w:rFonts w:ascii="Calibri" w:eastAsia="Calibri" w:hAnsi="Calibri" w:cs="Calibri"/>
          <w:b/>
          <w:bCs/>
          <w:sz w:val="24"/>
          <w:szCs w:val="24"/>
        </w:rPr>
      </w:pPr>
      <w:r w:rsidRPr="003D3D3F">
        <w:rPr>
          <w:rFonts w:ascii="Calibri" w:eastAsia="Calibri" w:hAnsi="Calibri" w:cs="Calibri"/>
          <w:b/>
          <w:bCs/>
          <w:noProof/>
          <w:sz w:val="24"/>
          <w:szCs w:val="24"/>
        </w:rPr>
        <w:lastRenderedPageBreak/>
        <w:drawing>
          <wp:inline distT="0" distB="0" distL="0" distR="0" wp14:anchorId="14F2D3FD" wp14:editId="58D2A86E">
            <wp:extent cx="5006340" cy="361980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11308" cy="3623398"/>
                    </a:xfrm>
                    <a:prstGeom prst="rect">
                      <a:avLst/>
                    </a:prstGeom>
                  </pic:spPr>
                </pic:pic>
              </a:graphicData>
            </a:graphic>
          </wp:inline>
        </w:drawing>
      </w:r>
    </w:p>
    <w:p w14:paraId="5CE8DBAA" w14:textId="08C65608" w:rsidR="005B6357" w:rsidRDefault="003D3D3F">
      <w:pPr>
        <w:rPr>
          <w:rFonts w:ascii="Calibri" w:eastAsia="Calibri" w:hAnsi="Calibri" w:cs="Calibri"/>
          <w:sz w:val="24"/>
          <w:szCs w:val="24"/>
        </w:rPr>
      </w:pPr>
      <w:r w:rsidRPr="003D3D3F">
        <w:rPr>
          <w:rFonts w:ascii="Calibri" w:eastAsia="Calibri" w:hAnsi="Calibri" w:cs="Calibri"/>
          <w:sz w:val="24"/>
          <w:szCs w:val="24"/>
        </w:rPr>
        <w:t>Overall trend is positive. Academic load remained relatively stable during the first three years before experiencing a sharp upward surge over the final two periods.</w:t>
      </w:r>
      <w:r w:rsidR="005B6357" w:rsidRPr="003D3D3F">
        <w:rPr>
          <w:rFonts w:ascii="Calibri" w:eastAsia="Calibri" w:hAnsi="Calibri" w:cs="Calibri"/>
          <w:sz w:val="24"/>
          <w:szCs w:val="24"/>
        </w:rPr>
        <w:br w:type="page"/>
      </w:r>
    </w:p>
    <w:p w14:paraId="3BDF1EB0" w14:textId="77777777" w:rsidR="003D3D3F" w:rsidRPr="003D3D3F" w:rsidRDefault="003D3D3F">
      <w:pPr>
        <w:rPr>
          <w:rFonts w:ascii="Calibri" w:eastAsia="Calibri" w:hAnsi="Calibri" w:cs="Calibri"/>
          <w:sz w:val="24"/>
          <w:szCs w:val="24"/>
        </w:rPr>
      </w:pP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t>Trends in headcount, FTES, and load</w:t>
      </w:r>
    </w:p>
    <w:p w14:paraId="74D59CE1" w14:textId="77777777" w:rsidR="00E34F5A" w:rsidRDefault="00E34F5A">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31899D7B" w:rsidR="00E34F5A" w:rsidRPr="003777D0" w:rsidRDefault="00A576AA" w:rsidP="00DF0518">
            <w:pPr>
              <w:rPr>
                <w:sz w:val="24"/>
                <w:szCs w:val="24"/>
              </w:rPr>
            </w:pPr>
            <w:bookmarkStart w:id="7" w:name="_Hlk235429083"/>
            <w:r>
              <w:rPr>
                <w:sz w:val="24"/>
                <w:szCs w:val="24"/>
              </w:rPr>
              <w:t>Female</w:t>
            </w:r>
          </w:p>
        </w:tc>
        <w:tc>
          <w:tcPr>
            <w:tcW w:w="3373" w:type="dxa"/>
          </w:tcPr>
          <w:p w14:paraId="55C494D6" w14:textId="017BA030" w:rsidR="00E34F5A" w:rsidRPr="003777D0" w:rsidRDefault="00B45E38" w:rsidP="00DF0518">
            <w:pPr>
              <w:jc w:val="center"/>
              <w:rPr>
                <w:sz w:val="24"/>
                <w:szCs w:val="24"/>
              </w:rPr>
            </w:pPr>
            <w:r>
              <w:rPr>
                <w:sz w:val="24"/>
                <w:szCs w:val="24"/>
              </w:rPr>
              <w:t xml:space="preserve">-11.5% </w:t>
            </w:r>
          </w:p>
        </w:tc>
        <w:tc>
          <w:tcPr>
            <w:tcW w:w="3240" w:type="dxa"/>
          </w:tcPr>
          <w:p w14:paraId="718EAF0E" w14:textId="6E401FAD" w:rsidR="00E34F5A" w:rsidRPr="003777D0" w:rsidRDefault="00B45E38" w:rsidP="00DF0518">
            <w:pPr>
              <w:jc w:val="center"/>
              <w:rPr>
                <w:sz w:val="24"/>
                <w:szCs w:val="24"/>
              </w:rPr>
            </w:pPr>
            <w:r>
              <w:rPr>
                <w:sz w:val="24"/>
                <w:szCs w:val="24"/>
              </w:rPr>
              <w:t xml:space="preserve"> </w:t>
            </w:r>
            <w:r w:rsidR="0003681E">
              <w:rPr>
                <w:sz w:val="24"/>
                <w:szCs w:val="24"/>
              </w:rPr>
              <w:t>2021-22</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36D18E94" w:rsidR="00E34F5A" w:rsidRPr="003777D0" w:rsidRDefault="00B45E38" w:rsidP="00DF0518">
            <w:pPr>
              <w:jc w:val="center"/>
              <w:rPr>
                <w:sz w:val="24"/>
                <w:szCs w:val="24"/>
              </w:rPr>
            </w:pPr>
            <w:r>
              <w:rPr>
                <w:sz w:val="24"/>
                <w:szCs w:val="24"/>
              </w:rPr>
              <w:t xml:space="preserve"> </w:t>
            </w:r>
            <w:r w:rsidR="0003681E">
              <w:rPr>
                <w:sz w:val="24"/>
                <w:szCs w:val="24"/>
              </w:rPr>
              <w:t>-10.3%</w:t>
            </w:r>
          </w:p>
        </w:tc>
        <w:tc>
          <w:tcPr>
            <w:tcW w:w="3240" w:type="dxa"/>
          </w:tcPr>
          <w:p w14:paraId="337720A7" w14:textId="15CF0F3C" w:rsidR="00E34F5A" w:rsidRPr="003777D0" w:rsidRDefault="00B45E38" w:rsidP="00DF0518">
            <w:pPr>
              <w:jc w:val="center"/>
              <w:rPr>
                <w:sz w:val="24"/>
                <w:szCs w:val="24"/>
              </w:rPr>
            </w:pPr>
            <w:r>
              <w:rPr>
                <w:sz w:val="24"/>
                <w:szCs w:val="24"/>
              </w:rPr>
              <w:t xml:space="preserve"> </w:t>
            </w:r>
            <w:r w:rsidR="0003681E">
              <w:rPr>
                <w:sz w:val="24"/>
                <w:szCs w:val="24"/>
              </w:rPr>
              <w:t>2022-23</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6974BBB5" w:rsidR="00E34F5A" w:rsidRPr="003777D0" w:rsidRDefault="00B45E38" w:rsidP="00DF0518">
            <w:pPr>
              <w:jc w:val="center"/>
              <w:rPr>
                <w:sz w:val="24"/>
                <w:szCs w:val="24"/>
              </w:rPr>
            </w:pPr>
            <w:r>
              <w:rPr>
                <w:sz w:val="24"/>
                <w:szCs w:val="24"/>
              </w:rPr>
              <w:t xml:space="preserve"> </w:t>
            </w:r>
            <w:r w:rsidR="0003681E">
              <w:rPr>
                <w:sz w:val="24"/>
                <w:szCs w:val="24"/>
              </w:rPr>
              <w:t>-9.4%</w:t>
            </w:r>
          </w:p>
        </w:tc>
        <w:tc>
          <w:tcPr>
            <w:tcW w:w="3240" w:type="dxa"/>
          </w:tcPr>
          <w:p w14:paraId="23474093" w14:textId="291B49B0" w:rsidR="00E34F5A" w:rsidRPr="003777D0" w:rsidRDefault="00B45E38" w:rsidP="00DF0518">
            <w:pPr>
              <w:jc w:val="center"/>
              <w:rPr>
                <w:sz w:val="24"/>
                <w:szCs w:val="24"/>
              </w:rPr>
            </w:pPr>
            <w:r>
              <w:rPr>
                <w:sz w:val="24"/>
                <w:szCs w:val="24"/>
              </w:rPr>
              <w:t xml:space="preserve"> </w:t>
            </w:r>
            <w:r w:rsidR="0003681E">
              <w:rPr>
                <w:sz w:val="24"/>
                <w:szCs w:val="24"/>
              </w:rPr>
              <w:t>2023-24</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6BD4E164" w:rsidR="00E34F5A" w:rsidRPr="003777D0" w:rsidRDefault="0003681E" w:rsidP="00DF0518">
            <w:pPr>
              <w:jc w:val="center"/>
              <w:rPr>
                <w:sz w:val="24"/>
                <w:szCs w:val="24"/>
              </w:rPr>
            </w:pPr>
            <w:r>
              <w:rPr>
                <w:sz w:val="24"/>
                <w:szCs w:val="24"/>
              </w:rPr>
              <w:t>-8.6%</w:t>
            </w:r>
          </w:p>
        </w:tc>
        <w:tc>
          <w:tcPr>
            <w:tcW w:w="3240" w:type="dxa"/>
          </w:tcPr>
          <w:p w14:paraId="49176D47" w14:textId="65F8556A" w:rsidR="00E34F5A" w:rsidRPr="003777D0" w:rsidRDefault="0003681E" w:rsidP="00DF0518">
            <w:pPr>
              <w:jc w:val="center"/>
              <w:rPr>
                <w:sz w:val="24"/>
                <w:szCs w:val="24"/>
              </w:rPr>
            </w:pPr>
            <w:r>
              <w:rPr>
                <w:sz w:val="24"/>
                <w:szCs w:val="24"/>
              </w:rPr>
              <w:t>2024-25</w:t>
            </w:r>
          </w:p>
        </w:tc>
      </w:tr>
      <w:tr w:rsidR="00E34F5A" w:rsidRPr="003777D0" w14:paraId="5ABA74B2" w14:textId="77777777" w:rsidTr="00DF0518">
        <w:tc>
          <w:tcPr>
            <w:tcW w:w="1842" w:type="dxa"/>
            <w:vMerge/>
          </w:tcPr>
          <w:p w14:paraId="6F24ED06" w14:textId="77777777" w:rsidR="00E34F5A" w:rsidRPr="003777D0" w:rsidRDefault="00E34F5A" w:rsidP="00DF0518">
            <w:pPr>
              <w:rPr>
                <w:b/>
                <w:bCs/>
                <w:sz w:val="24"/>
                <w:szCs w:val="24"/>
                <w:u w:val="single"/>
              </w:rPr>
            </w:pPr>
          </w:p>
        </w:tc>
        <w:tc>
          <w:tcPr>
            <w:tcW w:w="3373" w:type="dxa"/>
          </w:tcPr>
          <w:p w14:paraId="76A5F317" w14:textId="1BCD806E" w:rsidR="00E34F5A" w:rsidRPr="003777D0" w:rsidRDefault="0003681E" w:rsidP="00DF0518">
            <w:pPr>
              <w:jc w:val="center"/>
              <w:rPr>
                <w:sz w:val="24"/>
                <w:szCs w:val="24"/>
              </w:rPr>
            </w:pPr>
            <w:r>
              <w:rPr>
                <w:sz w:val="24"/>
                <w:szCs w:val="24"/>
              </w:rPr>
              <w:t>-8.7%</w:t>
            </w:r>
          </w:p>
        </w:tc>
        <w:tc>
          <w:tcPr>
            <w:tcW w:w="3240" w:type="dxa"/>
          </w:tcPr>
          <w:p w14:paraId="576BB98F" w14:textId="4970AD66" w:rsidR="00E34F5A" w:rsidRPr="003777D0" w:rsidRDefault="0003681E" w:rsidP="00DF0518">
            <w:pPr>
              <w:jc w:val="center"/>
              <w:rPr>
                <w:sz w:val="24"/>
                <w:szCs w:val="24"/>
              </w:rPr>
            </w:pPr>
            <w:r>
              <w:rPr>
                <w:sz w:val="24"/>
                <w:szCs w:val="24"/>
              </w:rPr>
              <w:t>2025-26</w:t>
            </w:r>
          </w:p>
        </w:tc>
      </w:tr>
      <w:bookmarkEnd w:id="7"/>
      <w:tr w:rsidR="0003681E" w:rsidRPr="003777D0" w14:paraId="5D2E99C2" w14:textId="77777777" w:rsidTr="00DF0518">
        <w:tc>
          <w:tcPr>
            <w:tcW w:w="1842" w:type="dxa"/>
            <w:vMerge w:val="restart"/>
            <w:vAlign w:val="center"/>
          </w:tcPr>
          <w:p w14:paraId="3E1BB106" w14:textId="10974226" w:rsidR="0003681E" w:rsidRPr="003777D0" w:rsidRDefault="0003681E" w:rsidP="0003681E">
            <w:pPr>
              <w:rPr>
                <w:sz w:val="24"/>
                <w:szCs w:val="24"/>
              </w:rPr>
            </w:pPr>
            <w:r>
              <w:rPr>
                <w:sz w:val="24"/>
                <w:szCs w:val="24"/>
              </w:rPr>
              <w:t>Less than Part-Time</w:t>
            </w:r>
          </w:p>
        </w:tc>
        <w:tc>
          <w:tcPr>
            <w:tcW w:w="3373" w:type="dxa"/>
          </w:tcPr>
          <w:p w14:paraId="4762FD49" w14:textId="123924ED" w:rsidR="0003681E" w:rsidRPr="003777D0" w:rsidRDefault="0003681E" w:rsidP="0003681E">
            <w:pPr>
              <w:jc w:val="center"/>
              <w:rPr>
                <w:sz w:val="24"/>
                <w:szCs w:val="24"/>
              </w:rPr>
            </w:pPr>
            <w:r>
              <w:rPr>
                <w:sz w:val="24"/>
                <w:szCs w:val="24"/>
              </w:rPr>
              <w:t>-15.5%</w:t>
            </w:r>
          </w:p>
        </w:tc>
        <w:tc>
          <w:tcPr>
            <w:tcW w:w="3240" w:type="dxa"/>
          </w:tcPr>
          <w:p w14:paraId="3B9BA5A6" w14:textId="69A28CD9" w:rsidR="0003681E" w:rsidRPr="003777D0" w:rsidRDefault="0003681E" w:rsidP="0003681E">
            <w:pPr>
              <w:jc w:val="center"/>
              <w:rPr>
                <w:sz w:val="24"/>
                <w:szCs w:val="24"/>
              </w:rPr>
            </w:pPr>
            <w:r>
              <w:rPr>
                <w:sz w:val="24"/>
                <w:szCs w:val="24"/>
              </w:rPr>
              <w:t xml:space="preserve"> 2021-22</w:t>
            </w:r>
          </w:p>
        </w:tc>
      </w:tr>
      <w:tr w:rsidR="0003681E" w:rsidRPr="003777D0" w14:paraId="15133E2A" w14:textId="77777777" w:rsidTr="00DF0518">
        <w:tc>
          <w:tcPr>
            <w:tcW w:w="1842" w:type="dxa"/>
            <w:vMerge/>
          </w:tcPr>
          <w:p w14:paraId="343B1B64" w14:textId="77777777" w:rsidR="0003681E" w:rsidRPr="003777D0" w:rsidRDefault="0003681E" w:rsidP="0003681E">
            <w:pPr>
              <w:rPr>
                <w:b/>
                <w:bCs/>
                <w:sz w:val="24"/>
                <w:szCs w:val="24"/>
                <w:u w:val="single"/>
              </w:rPr>
            </w:pPr>
          </w:p>
        </w:tc>
        <w:tc>
          <w:tcPr>
            <w:tcW w:w="3373" w:type="dxa"/>
          </w:tcPr>
          <w:p w14:paraId="5A969A87" w14:textId="5CCF202D" w:rsidR="0003681E" w:rsidRPr="003777D0" w:rsidRDefault="0003681E" w:rsidP="0003681E">
            <w:pPr>
              <w:jc w:val="center"/>
              <w:rPr>
                <w:sz w:val="24"/>
                <w:szCs w:val="24"/>
              </w:rPr>
            </w:pPr>
            <w:r>
              <w:rPr>
                <w:sz w:val="24"/>
                <w:szCs w:val="24"/>
              </w:rPr>
              <w:t xml:space="preserve"> -13.7%</w:t>
            </w:r>
          </w:p>
        </w:tc>
        <w:tc>
          <w:tcPr>
            <w:tcW w:w="3240" w:type="dxa"/>
          </w:tcPr>
          <w:p w14:paraId="5EB306A8" w14:textId="216E5229" w:rsidR="0003681E" w:rsidRPr="003777D0" w:rsidRDefault="0003681E" w:rsidP="0003681E">
            <w:pPr>
              <w:jc w:val="center"/>
              <w:rPr>
                <w:sz w:val="24"/>
                <w:szCs w:val="24"/>
              </w:rPr>
            </w:pPr>
            <w:r>
              <w:rPr>
                <w:sz w:val="24"/>
                <w:szCs w:val="24"/>
              </w:rPr>
              <w:t xml:space="preserve"> 2022-23</w:t>
            </w:r>
          </w:p>
        </w:tc>
      </w:tr>
      <w:tr w:rsidR="0003681E" w:rsidRPr="003777D0" w14:paraId="6458110B" w14:textId="77777777" w:rsidTr="00DF0518">
        <w:tc>
          <w:tcPr>
            <w:tcW w:w="1842" w:type="dxa"/>
            <w:vMerge/>
          </w:tcPr>
          <w:p w14:paraId="53DFD1A2" w14:textId="77777777" w:rsidR="0003681E" w:rsidRPr="003777D0" w:rsidRDefault="0003681E" w:rsidP="0003681E">
            <w:pPr>
              <w:rPr>
                <w:b/>
                <w:bCs/>
                <w:sz w:val="24"/>
                <w:szCs w:val="24"/>
                <w:u w:val="single"/>
              </w:rPr>
            </w:pPr>
          </w:p>
        </w:tc>
        <w:tc>
          <w:tcPr>
            <w:tcW w:w="3373" w:type="dxa"/>
          </w:tcPr>
          <w:p w14:paraId="4C7A242B" w14:textId="14AC0833" w:rsidR="0003681E" w:rsidRDefault="0003681E" w:rsidP="0003681E">
            <w:pPr>
              <w:jc w:val="center"/>
              <w:rPr>
                <w:sz w:val="24"/>
                <w:szCs w:val="24"/>
              </w:rPr>
            </w:pPr>
            <w:r>
              <w:rPr>
                <w:sz w:val="24"/>
                <w:szCs w:val="24"/>
              </w:rPr>
              <w:t>-11.9%</w:t>
            </w:r>
          </w:p>
        </w:tc>
        <w:tc>
          <w:tcPr>
            <w:tcW w:w="3240" w:type="dxa"/>
          </w:tcPr>
          <w:p w14:paraId="04CA6A2E" w14:textId="2052B495" w:rsidR="0003681E" w:rsidRDefault="0003681E" w:rsidP="0003681E">
            <w:pPr>
              <w:jc w:val="center"/>
              <w:rPr>
                <w:sz w:val="24"/>
                <w:szCs w:val="24"/>
              </w:rPr>
            </w:pPr>
            <w:r>
              <w:rPr>
                <w:sz w:val="24"/>
                <w:szCs w:val="24"/>
              </w:rPr>
              <w:t xml:space="preserve"> 2023-24</w:t>
            </w:r>
          </w:p>
        </w:tc>
      </w:tr>
      <w:tr w:rsidR="0003681E" w:rsidRPr="003777D0" w14:paraId="0B89F785" w14:textId="77777777" w:rsidTr="00DF0518">
        <w:tc>
          <w:tcPr>
            <w:tcW w:w="1842" w:type="dxa"/>
            <w:vMerge/>
          </w:tcPr>
          <w:p w14:paraId="19E03A3F" w14:textId="77777777" w:rsidR="0003681E" w:rsidRPr="003777D0" w:rsidRDefault="0003681E" w:rsidP="0003681E">
            <w:pPr>
              <w:rPr>
                <w:b/>
                <w:bCs/>
                <w:sz w:val="24"/>
                <w:szCs w:val="24"/>
                <w:u w:val="single"/>
              </w:rPr>
            </w:pPr>
          </w:p>
        </w:tc>
        <w:tc>
          <w:tcPr>
            <w:tcW w:w="3373" w:type="dxa"/>
          </w:tcPr>
          <w:p w14:paraId="4A273490" w14:textId="50706393" w:rsidR="0003681E" w:rsidRDefault="0003681E" w:rsidP="0003681E">
            <w:pPr>
              <w:jc w:val="center"/>
              <w:rPr>
                <w:sz w:val="24"/>
                <w:szCs w:val="24"/>
              </w:rPr>
            </w:pPr>
            <w:r>
              <w:rPr>
                <w:sz w:val="24"/>
                <w:szCs w:val="24"/>
              </w:rPr>
              <w:t>-10.6%</w:t>
            </w:r>
          </w:p>
        </w:tc>
        <w:tc>
          <w:tcPr>
            <w:tcW w:w="3240" w:type="dxa"/>
          </w:tcPr>
          <w:p w14:paraId="5D18628F" w14:textId="1FE668C2" w:rsidR="0003681E" w:rsidRDefault="0003681E" w:rsidP="0003681E">
            <w:pPr>
              <w:jc w:val="center"/>
              <w:rPr>
                <w:sz w:val="24"/>
                <w:szCs w:val="24"/>
              </w:rPr>
            </w:pPr>
            <w:r>
              <w:rPr>
                <w:sz w:val="24"/>
                <w:szCs w:val="24"/>
              </w:rPr>
              <w:t>2024-25</w:t>
            </w:r>
          </w:p>
        </w:tc>
      </w:tr>
      <w:tr w:rsidR="0003681E" w:rsidRPr="003777D0" w14:paraId="1631E3A0" w14:textId="77777777" w:rsidTr="00DF0518">
        <w:tc>
          <w:tcPr>
            <w:tcW w:w="1842" w:type="dxa"/>
            <w:vMerge/>
          </w:tcPr>
          <w:p w14:paraId="46E96E8D" w14:textId="77777777" w:rsidR="0003681E" w:rsidRPr="003777D0" w:rsidRDefault="0003681E" w:rsidP="0003681E">
            <w:pPr>
              <w:rPr>
                <w:b/>
                <w:bCs/>
                <w:sz w:val="24"/>
                <w:szCs w:val="24"/>
                <w:u w:val="single"/>
              </w:rPr>
            </w:pPr>
          </w:p>
        </w:tc>
        <w:tc>
          <w:tcPr>
            <w:tcW w:w="3373" w:type="dxa"/>
          </w:tcPr>
          <w:p w14:paraId="0442EAC6" w14:textId="4722C567" w:rsidR="0003681E" w:rsidRDefault="0003681E" w:rsidP="0003681E">
            <w:pPr>
              <w:jc w:val="center"/>
              <w:rPr>
                <w:sz w:val="24"/>
                <w:szCs w:val="24"/>
              </w:rPr>
            </w:pPr>
            <w:r>
              <w:rPr>
                <w:sz w:val="24"/>
                <w:szCs w:val="24"/>
              </w:rPr>
              <w:t>-10.6%</w:t>
            </w:r>
          </w:p>
        </w:tc>
        <w:tc>
          <w:tcPr>
            <w:tcW w:w="3240" w:type="dxa"/>
          </w:tcPr>
          <w:p w14:paraId="16354F5A" w14:textId="654DAFE5" w:rsidR="0003681E" w:rsidRDefault="0003681E" w:rsidP="0003681E">
            <w:pPr>
              <w:jc w:val="center"/>
              <w:rPr>
                <w:sz w:val="24"/>
                <w:szCs w:val="24"/>
              </w:rPr>
            </w:pPr>
            <w:r>
              <w:rPr>
                <w:sz w:val="24"/>
                <w:szCs w:val="24"/>
              </w:rPr>
              <w:t>2025-26</w:t>
            </w:r>
          </w:p>
        </w:tc>
      </w:tr>
    </w:tbl>
    <w:p w14:paraId="41B214D0" w14:textId="77777777" w:rsidR="001A10BB" w:rsidRDefault="001A10BB">
      <w:pPr>
        <w:rPr>
          <w:rFonts w:ascii="Calibri" w:eastAsia="Calibri" w:hAnsi="Calibri" w:cs="Calibri"/>
          <w:sz w:val="24"/>
          <w:szCs w:val="24"/>
        </w:rPr>
      </w:pPr>
    </w:p>
    <w:p w14:paraId="407AA9B4" w14:textId="284945C9" w:rsidR="00E34F5A" w:rsidRPr="00375184" w:rsidRDefault="0003681E">
      <w:pPr>
        <w:rPr>
          <w:rFonts w:ascii="Calibri" w:eastAsia="Calibri" w:hAnsi="Calibri" w:cs="Calibri"/>
          <w:sz w:val="24"/>
          <w:szCs w:val="24"/>
        </w:rPr>
      </w:pPr>
      <w:r w:rsidRPr="00375184">
        <w:rPr>
          <w:rFonts w:ascii="Calibri" w:eastAsia="Calibri" w:hAnsi="Calibri" w:cs="Calibri"/>
          <w:sz w:val="24"/>
          <w:szCs w:val="24"/>
        </w:rPr>
        <w:t>Female</w:t>
      </w:r>
      <w:r w:rsidR="001A10BB">
        <w:rPr>
          <w:rFonts w:ascii="Calibri" w:eastAsia="Calibri" w:hAnsi="Calibri" w:cs="Calibri"/>
          <w:sz w:val="24"/>
          <w:szCs w:val="24"/>
        </w:rPr>
        <w:t xml:space="preserve"> and</w:t>
      </w:r>
      <w:r w:rsidRPr="00375184">
        <w:rPr>
          <w:rFonts w:ascii="Calibri" w:eastAsia="Calibri" w:hAnsi="Calibri" w:cs="Calibri"/>
          <w:sz w:val="24"/>
          <w:szCs w:val="24"/>
        </w:rPr>
        <w:t xml:space="preserve"> Less than Part-Time</w:t>
      </w:r>
      <w:r w:rsidR="001A10BB">
        <w:rPr>
          <w:rFonts w:ascii="Calibri" w:eastAsia="Calibri" w:hAnsi="Calibri" w:cs="Calibri"/>
          <w:sz w:val="24"/>
          <w:szCs w:val="24"/>
        </w:rPr>
        <w:t xml:space="preserve"> are under-represented in Kinesiology courses when compared to college-wide enrollments.</w:t>
      </w:r>
    </w:p>
    <w:p w14:paraId="00000045" w14:textId="77777777" w:rsidR="0009573D" w:rsidRDefault="008A7CBB">
      <w:pPr>
        <w:pStyle w:val="Heading2"/>
      </w:pPr>
      <w:bookmarkStart w:id="8" w:name="_t70ry0elr2bp" w:colFirst="0" w:colLast="0"/>
      <w:bookmarkEnd w:id="8"/>
      <w:r>
        <w:t xml:space="preserve"> </w:t>
      </w:r>
    </w:p>
    <w:p w14:paraId="00000046" w14:textId="77777777" w:rsidR="0009573D" w:rsidRDefault="008A7CBB">
      <w:pPr>
        <w:pStyle w:val="Heading2"/>
        <w:rPr>
          <w:color w:val="004C46"/>
        </w:rPr>
      </w:pPr>
      <w:bookmarkStart w:id="9" w:name="_z8i9pgwqdm4z" w:colFirst="0" w:colLast="0"/>
      <w:bookmarkEnd w:id="9"/>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10" w:name="_oqpjipod6ptg" w:colFirst="0" w:colLast="0"/>
      <w:bookmarkEnd w:id="10"/>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5"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4303F3A0" w:rsidR="006A04C9"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09A60D8E" w14:textId="4262BE8D" w:rsidR="003D3D3F" w:rsidRDefault="003D3D3F" w:rsidP="006A04C9">
      <w:pPr>
        <w:rPr>
          <w:b/>
          <w:bCs/>
          <w:sz w:val="24"/>
          <w:szCs w:val="24"/>
          <w:u w:val="single"/>
        </w:rPr>
      </w:pPr>
    </w:p>
    <w:p w14:paraId="61350961" w14:textId="373F6F9F" w:rsidR="003D3D3F" w:rsidRDefault="00B45E38" w:rsidP="006A04C9">
      <w:pPr>
        <w:rPr>
          <w:sz w:val="24"/>
          <w:szCs w:val="24"/>
        </w:rPr>
      </w:pPr>
      <w:r w:rsidRPr="00B45E38">
        <w:rPr>
          <w:noProof/>
          <w:sz w:val="24"/>
          <w:szCs w:val="24"/>
        </w:rPr>
        <w:lastRenderedPageBreak/>
        <w:drawing>
          <wp:inline distT="0" distB="0" distL="0" distR="0" wp14:anchorId="7C90F321" wp14:editId="5FCC2F4C">
            <wp:extent cx="4344006" cy="4791744"/>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44006" cy="4791744"/>
                    </a:xfrm>
                    <a:prstGeom prst="rect">
                      <a:avLst/>
                    </a:prstGeom>
                  </pic:spPr>
                </pic:pic>
              </a:graphicData>
            </a:graphic>
          </wp:inline>
        </w:drawing>
      </w:r>
    </w:p>
    <w:p w14:paraId="123A6B85" w14:textId="77777777" w:rsidR="001A10BB" w:rsidRDefault="001A10BB" w:rsidP="006A04C9">
      <w:pPr>
        <w:rPr>
          <w:rFonts w:asciiTheme="majorHAnsi" w:hAnsiTheme="majorHAnsi" w:cstheme="majorHAnsi"/>
          <w:sz w:val="24"/>
          <w:szCs w:val="24"/>
        </w:rPr>
      </w:pPr>
    </w:p>
    <w:p w14:paraId="17A9E7A7" w14:textId="59510A94" w:rsidR="00B45E38" w:rsidRPr="001A10BB" w:rsidRDefault="00B45E38" w:rsidP="006A04C9">
      <w:pPr>
        <w:rPr>
          <w:rFonts w:asciiTheme="majorHAnsi" w:hAnsiTheme="majorHAnsi" w:cstheme="majorHAnsi"/>
          <w:sz w:val="24"/>
          <w:szCs w:val="24"/>
        </w:rPr>
      </w:pPr>
      <w:r w:rsidRPr="001A10BB">
        <w:rPr>
          <w:rFonts w:asciiTheme="majorHAnsi" w:hAnsiTheme="majorHAnsi" w:cstheme="majorHAnsi"/>
          <w:sz w:val="24"/>
          <w:szCs w:val="24"/>
        </w:rPr>
        <w:t xml:space="preserve">Overall trend is positive. The </w:t>
      </w:r>
      <w:r w:rsidR="001A10BB">
        <w:rPr>
          <w:rFonts w:asciiTheme="majorHAnsi" w:hAnsiTheme="majorHAnsi" w:cstheme="majorHAnsi"/>
          <w:sz w:val="24"/>
          <w:szCs w:val="24"/>
        </w:rPr>
        <w:t xml:space="preserve">overall course </w:t>
      </w:r>
      <w:r w:rsidRPr="001A10BB">
        <w:rPr>
          <w:rFonts w:asciiTheme="majorHAnsi" w:hAnsiTheme="majorHAnsi" w:cstheme="majorHAnsi"/>
          <w:sz w:val="24"/>
          <w:szCs w:val="24"/>
        </w:rPr>
        <w:t xml:space="preserve">success rate fluctuated slightly but remained high. </w:t>
      </w:r>
      <w:r w:rsidR="001A10BB">
        <w:rPr>
          <w:rFonts w:asciiTheme="majorHAnsi" w:hAnsiTheme="majorHAnsi" w:cstheme="majorHAnsi"/>
          <w:sz w:val="24"/>
          <w:szCs w:val="24"/>
        </w:rPr>
        <w:t>A smaller percentage of students withdrew from KINE courses over the period as well.</w:t>
      </w:r>
    </w:p>
    <w:p w14:paraId="2202FBCC" w14:textId="77777777" w:rsidR="008C7825" w:rsidRPr="001A10BB" w:rsidRDefault="008C7825">
      <w:pPr>
        <w:rPr>
          <w:rFonts w:asciiTheme="majorHAnsi" w:eastAsia="Calibri" w:hAnsiTheme="majorHAnsi" w:cstheme="majorHAnsi"/>
          <w:sz w:val="24"/>
          <w:szCs w:val="24"/>
        </w:rPr>
      </w:pPr>
    </w:p>
    <w:p w14:paraId="183D4AB4" w14:textId="77777777" w:rsidR="001A10BB" w:rsidRDefault="001A10BB">
      <w:pPr>
        <w:rPr>
          <w:rFonts w:ascii="Calibri" w:eastAsia="Calibri" w:hAnsi="Calibri" w:cs="Calibri"/>
          <w:sz w:val="24"/>
          <w:szCs w:val="24"/>
          <w:highlight w:val="yellow"/>
        </w:rPr>
      </w:pPr>
      <w:r>
        <w:rPr>
          <w:rFonts w:ascii="Calibri" w:eastAsia="Calibri" w:hAnsi="Calibri" w:cs="Calibri"/>
          <w:sz w:val="24"/>
          <w:szCs w:val="24"/>
          <w:highlight w:val="yellow"/>
        </w:rPr>
        <w:br w:type="page"/>
      </w:r>
    </w:p>
    <w:p w14:paraId="2DCD0EF6" w14:textId="150FBFC9"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7"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073F6A46" w14:textId="77777777" w:rsidTr="00DF0518">
        <w:tc>
          <w:tcPr>
            <w:tcW w:w="2605" w:type="dxa"/>
            <w:vAlign w:val="center"/>
          </w:tcPr>
          <w:p w14:paraId="711E376A" w14:textId="58642E03" w:rsidR="00670051" w:rsidRPr="003777D0" w:rsidRDefault="00375184" w:rsidP="00DF0518">
            <w:pPr>
              <w:rPr>
                <w:sz w:val="24"/>
                <w:szCs w:val="24"/>
              </w:rPr>
            </w:pPr>
            <w:r>
              <w:rPr>
                <w:sz w:val="24"/>
                <w:szCs w:val="24"/>
              </w:rPr>
              <w:t>Hispanic-Male</w:t>
            </w:r>
          </w:p>
        </w:tc>
        <w:tc>
          <w:tcPr>
            <w:tcW w:w="2610" w:type="dxa"/>
            <w:vAlign w:val="center"/>
          </w:tcPr>
          <w:p w14:paraId="2F40E0B5" w14:textId="3756B67B" w:rsidR="00670051" w:rsidRPr="003777D0" w:rsidRDefault="00375184" w:rsidP="00DF0518">
            <w:pPr>
              <w:jc w:val="center"/>
              <w:rPr>
                <w:sz w:val="24"/>
                <w:szCs w:val="24"/>
              </w:rPr>
            </w:pPr>
            <w:r>
              <w:rPr>
                <w:sz w:val="24"/>
                <w:szCs w:val="24"/>
              </w:rPr>
              <w:t>-12.7%</w:t>
            </w:r>
          </w:p>
        </w:tc>
        <w:tc>
          <w:tcPr>
            <w:tcW w:w="3240" w:type="dxa"/>
            <w:vAlign w:val="center"/>
          </w:tcPr>
          <w:p w14:paraId="66F95BB0" w14:textId="2106263D" w:rsidR="00670051" w:rsidRPr="003777D0" w:rsidRDefault="00375184" w:rsidP="00DF0518">
            <w:pPr>
              <w:jc w:val="center"/>
              <w:rPr>
                <w:sz w:val="24"/>
                <w:szCs w:val="24"/>
              </w:rPr>
            </w:pPr>
            <w:r>
              <w:rPr>
                <w:sz w:val="24"/>
                <w:szCs w:val="24"/>
              </w:rPr>
              <w:t>2022-23</w:t>
            </w:r>
          </w:p>
        </w:tc>
      </w:tr>
    </w:tbl>
    <w:p w14:paraId="26085E45" w14:textId="02679637" w:rsidR="00375184" w:rsidRDefault="00375184" w:rsidP="00670051">
      <w:pPr>
        <w:rPr>
          <w:sz w:val="24"/>
          <w:szCs w:val="24"/>
        </w:rPr>
      </w:pPr>
    </w:p>
    <w:p w14:paraId="5AFA5FA5" w14:textId="00B60FD4" w:rsidR="001A10BB" w:rsidRPr="001A10BB" w:rsidRDefault="001A10BB" w:rsidP="00670051">
      <w:pPr>
        <w:rPr>
          <w:rFonts w:asciiTheme="majorHAnsi" w:hAnsiTheme="majorHAnsi" w:cstheme="majorHAnsi"/>
          <w:sz w:val="24"/>
          <w:szCs w:val="24"/>
        </w:rPr>
      </w:pPr>
      <w:r w:rsidRPr="001A10BB">
        <w:rPr>
          <w:rFonts w:asciiTheme="majorHAnsi" w:hAnsiTheme="majorHAnsi" w:cstheme="majorHAnsi"/>
          <w:sz w:val="24"/>
          <w:szCs w:val="24"/>
        </w:rPr>
        <w:t>There are no significant, recent, or persistent gaps in student success rates by student population.</w:t>
      </w:r>
    </w:p>
    <w:p w14:paraId="6389DC21" w14:textId="77777777" w:rsidR="001A10BB" w:rsidRPr="003777D0" w:rsidRDefault="001A10BB"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1955EBF3" w14:textId="77777777" w:rsidTr="00DF0518">
        <w:tc>
          <w:tcPr>
            <w:tcW w:w="2605" w:type="dxa"/>
            <w:vAlign w:val="center"/>
          </w:tcPr>
          <w:p w14:paraId="4C0107AB" w14:textId="0EBC5568" w:rsidR="001A6C6B" w:rsidRPr="003777D0" w:rsidRDefault="00375184" w:rsidP="00DF0518">
            <w:pPr>
              <w:rPr>
                <w:sz w:val="24"/>
                <w:szCs w:val="24"/>
              </w:rPr>
            </w:pPr>
            <w:r>
              <w:rPr>
                <w:sz w:val="24"/>
                <w:szCs w:val="24"/>
              </w:rPr>
              <w:t>Less than part-time</w:t>
            </w:r>
          </w:p>
        </w:tc>
        <w:tc>
          <w:tcPr>
            <w:tcW w:w="2610" w:type="dxa"/>
            <w:vAlign w:val="center"/>
          </w:tcPr>
          <w:p w14:paraId="5E900662" w14:textId="247674DB" w:rsidR="001A6C6B" w:rsidRPr="003777D0" w:rsidRDefault="00375184" w:rsidP="00DF0518">
            <w:pPr>
              <w:jc w:val="center"/>
              <w:rPr>
                <w:sz w:val="24"/>
                <w:szCs w:val="24"/>
              </w:rPr>
            </w:pPr>
            <w:r>
              <w:rPr>
                <w:sz w:val="24"/>
                <w:szCs w:val="24"/>
              </w:rPr>
              <w:t>-15.3%</w:t>
            </w:r>
          </w:p>
        </w:tc>
        <w:tc>
          <w:tcPr>
            <w:tcW w:w="3240" w:type="dxa"/>
            <w:vAlign w:val="center"/>
          </w:tcPr>
          <w:p w14:paraId="5651C095" w14:textId="34026C9E" w:rsidR="001A6C6B" w:rsidRPr="003777D0" w:rsidRDefault="00375184" w:rsidP="00DF0518">
            <w:pPr>
              <w:jc w:val="center"/>
              <w:rPr>
                <w:sz w:val="24"/>
                <w:szCs w:val="24"/>
              </w:rPr>
            </w:pPr>
            <w:r>
              <w:rPr>
                <w:sz w:val="24"/>
                <w:szCs w:val="24"/>
              </w:rPr>
              <w:t>2021-22</w:t>
            </w:r>
          </w:p>
        </w:tc>
      </w:tr>
    </w:tbl>
    <w:p w14:paraId="18A271A0" w14:textId="1F3388D9" w:rsidR="006A04C9" w:rsidRPr="001A10BB" w:rsidRDefault="00244974">
      <w:pPr>
        <w:rPr>
          <w:rFonts w:ascii="Calibri" w:eastAsia="Calibri" w:hAnsi="Calibri" w:cs="Calibri"/>
          <w:sz w:val="20"/>
          <w:szCs w:val="20"/>
        </w:rPr>
      </w:pPr>
      <w:r w:rsidRPr="001A10BB">
        <w:rPr>
          <w:rFonts w:ascii="Calibri" w:eastAsia="Calibri" w:hAnsi="Calibri" w:cs="Calibri"/>
          <w:sz w:val="20"/>
          <w:szCs w:val="20"/>
        </w:rPr>
        <w:t>Note: Withdraw rates are the inverse of r</w:t>
      </w:r>
      <w:r w:rsidR="006E376F" w:rsidRPr="001A10BB">
        <w:rPr>
          <w:rFonts w:ascii="Calibri" w:eastAsia="Calibri" w:hAnsi="Calibri" w:cs="Calibri"/>
          <w:sz w:val="20"/>
          <w:szCs w:val="20"/>
        </w:rPr>
        <w:t>etention rates.</w:t>
      </w:r>
    </w:p>
    <w:p w14:paraId="79B61530" w14:textId="77777777" w:rsidR="001A10BB" w:rsidRDefault="001A10BB" w:rsidP="00375184">
      <w:pPr>
        <w:rPr>
          <w:rFonts w:ascii="Calibri" w:eastAsia="Calibri" w:hAnsi="Calibri" w:cs="Calibri"/>
          <w:sz w:val="24"/>
          <w:szCs w:val="24"/>
        </w:rPr>
      </w:pPr>
    </w:p>
    <w:p w14:paraId="1384B313" w14:textId="40E28435" w:rsidR="001A10BB" w:rsidRPr="001A10BB" w:rsidRDefault="001A10BB" w:rsidP="001A10BB">
      <w:pPr>
        <w:rPr>
          <w:rFonts w:asciiTheme="majorHAnsi" w:hAnsiTheme="majorHAnsi" w:cstheme="majorHAnsi"/>
          <w:sz w:val="24"/>
          <w:szCs w:val="24"/>
        </w:rPr>
      </w:pPr>
      <w:r w:rsidRPr="001A10BB">
        <w:rPr>
          <w:rFonts w:asciiTheme="majorHAnsi" w:hAnsiTheme="majorHAnsi" w:cstheme="majorHAnsi"/>
          <w:sz w:val="24"/>
          <w:szCs w:val="24"/>
        </w:rPr>
        <w:t xml:space="preserve">There are no significant, recent, or persistent gaps in student </w:t>
      </w:r>
      <w:r>
        <w:rPr>
          <w:rFonts w:asciiTheme="majorHAnsi" w:hAnsiTheme="majorHAnsi" w:cstheme="majorHAnsi"/>
          <w:sz w:val="24"/>
          <w:szCs w:val="24"/>
        </w:rPr>
        <w:t>withdrawal</w:t>
      </w:r>
      <w:r w:rsidRPr="001A10BB">
        <w:rPr>
          <w:rFonts w:asciiTheme="majorHAnsi" w:hAnsiTheme="majorHAnsi" w:cstheme="majorHAnsi"/>
          <w:sz w:val="24"/>
          <w:szCs w:val="24"/>
        </w:rPr>
        <w:t xml:space="preserve"> rates by student population.</w:t>
      </w:r>
    </w:p>
    <w:p w14:paraId="38067695" w14:textId="77777777" w:rsidR="006E376F" w:rsidRDefault="006E376F">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1" w:name="_7fev198ux36p" w:colFirst="0" w:colLast="0"/>
      <w:bookmarkEnd w:id="11"/>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8"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15CBC942" w14:textId="55516E2A" w:rsidR="00163B9F" w:rsidRDefault="00B45E38" w:rsidP="001B1EF1">
      <w:pPr>
        <w:rPr>
          <w:rFonts w:ascii="Calibri" w:eastAsia="Calibri" w:hAnsi="Calibri" w:cs="Calibri"/>
          <w:sz w:val="24"/>
          <w:szCs w:val="24"/>
        </w:rPr>
      </w:pPr>
      <w:r w:rsidRPr="00B45E38">
        <w:rPr>
          <w:rFonts w:ascii="Calibri" w:eastAsia="Calibri" w:hAnsi="Calibri" w:cs="Calibri"/>
          <w:noProof/>
          <w:sz w:val="24"/>
          <w:szCs w:val="24"/>
        </w:rPr>
        <w:lastRenderedPageBreak/>
        <w:drawing>
          <wp:inline distT="0" distB="0" distL="0" distR="0" wp14:anchorId="1F8175F1" wp14:editId="44964E94">
            <wp:extent cx="4706007" cy="4887007"/>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06007" cy="4887007"/>
                    </a:xfrm>
                    <a:prstGeom prst="rect">
                      <a:avLst/>
                    </a:prstGeom>
                  </pic:spPr>
                </pic:pic>
              </a:graphicData>
            </a:graphic>
          </wp:inline>
        </w:drawing>
      </w:r>
    </w:p>
    <w:p w14:paraId="2FFC1867" w14:textId="247708F3" w:rsidR="00B45E38" w:rsidRPr="00B45E38" w:rsidRDefault="00B45E38" w:rsidP="001B1EF1">
      <w:pPr>
        <w:rPr>
          <w:rFonts w:ascii="Calibri" w:eastAsia="Calibri" w:hAnsi="Calibri" w:cs="Calibri"/>
          <w:sz w:val="24"/>
          <w:szCs w:val="24"/>
        </w:rPr>
      </w:pPr>
      <w:r w:rsidRPr="00B45E38">
        <w:rPr>
          <w:rFonts w:ascii="Calibri" w:eastAsia="Calibri" w:hAnsi="Calibri" w:cs="Calibri"/>
          <w:sz w:val="24"/>
          <w:szCs w:val="24"/>
        </w:rPr>
        <w:t>Overall trend is positive growth with notable volatility.</w:t>
      </w:r>
    </w:p>
    <w:p w14:paraId="059F2514" w14:textId="77777777" w:rsidR="00B45E38" w:rsidRDefault="00B45E38"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20"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68AD3E28" w:rsidR="00E35855" w:rsidRDefault="00E35855" w:rsidP="00CA37AE">
      <w:pPr>
        <w:rPr>
          <w:rFonts w:eastAsia="Calibri"/>
        </w:rPr>
      </w:pPr>
    </w:p>
    <w:p w14:paraId="59366ABB" w14:textId="17A97ED9" w:rsidR="00756EDE" w:rsidRDefault="00756EDE" w:rsidP="00CA37AE">
      <w:pPr>
        <w:rPr>
          <w:rFonts w:eastAsia="Calibri"/>
        </w:rPr>
      </w:pPr>
    </w:p>
    <w:p w14:paraId="5C74086C" w14:textId="6A73FCE9" w:rsidR="00756EDE" w:rsidRDefault="00756EDE" w:rsidP="00CA37AE">
      <w:pPr>
        <w:rPr>
          <w:rFonts w:eastAsia="Calibri"/>
        </w:rPr>
      </w:pPr>
    </w:p>
    <w:p w14:paraId="7EBA6323" w14:textId="4F7A3684" w:rsidR="00756EDE" w:rsidRDefault="00756EDE" w:rsidP="00CA37AE">
      <w:pPr>
        <w:rPr>
          <w:rFonts w:eastAsia="Calibri"/>
        </w:rPr>
      </w:pPr>
    </w:p>
    <w:p w14:paraId="1E8A4916" w14:textId="3A229062" w:rsidR="00756EDE" w:rsidRDefault="00756EDE" w:rsidP="00CA37AE">
      <w:pPr>
        <w:rPr>
          <w:rFonts w:eastAsia="Calibri"/>
        </w:rPr>
      </w:pPr>
    </w:p>
    <w:p w14:paraId="5B09CCB4" w14:textId="77777777" w:rsidR="00756EDE" w:rsidRDefault="00756EDE" w:rsidP="00CA37AE">
      <w:pPr>
        <w:rPr>
          <w:rFonts w:eastAsia="Calibri"/>
        </w:rPr>
      </w:pPr>
    </w:p>
    <w:p w14:paraId="2FE2DAD7" w14:textId="77777777" w:rsidR="001A10BB" w:rsidRDefault="001A10BB">
      <w:pPr>
        <w:rPr>
          <w:b/>
          <w:bCs/>
          <w:sz w:val="24"/>
          <w:szCs w:val="24"/>
          <w:u w:val="single"/>
        </w:rPr>
      </w:pPr>
      <w:r>
        <w:rPr>
          <w:b/>
          <w:bCs/>
          <w:sz w:val="24"/>
          <w:szCs w:val="24"/>
          <w:u w:val="single"/>
        </w:rPr>
        <w:br w:type="page"/>
      </w:r>
    </w:p>
    <w:p w14:paraId="156B377E" w14:textId="4CF6B74D" w:rsidR="00E35855" w:rsidRDefault="00E35855" w:rsidP="00E35855">
      <w:pPr>
        <w:rPr>
          <w:b/>
          <w:bCs/>
          <w:sz w:val="24"/>
          <w:szCs w:val="24"/>
          <w:u w:val="single"/>
        </w:rPr>
      </w:pPr>
      <w:r w:rsidRPr="003777D0">
        <w:rPr>
          <w:b/>
          <w:bCs/>
          <w:sz w:val="24"/>
          <w:szCs w:val="24"/>
          <w:u w:val="single"/>
        </w:rPr>
        <w:lastRenderedPageBreak/>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375184">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756EDE" w:rsidRPr="003777D0" w14:paraId="3F0598F2" w14:textId="77777777" w:rsidTr="00375184">
        <w:tc>
          <w:tcPr>
            <w:tcW w:w="1559" w:type="dxa"/>
            <w:vAlign w:val="center"/>
          </w:tcPr>
          <w:p w14:paraId="54464E9D" w14:textId="39793322" w:rsidR="00756EDE" w:rsidRPr="003777D0" w:rsidRDefault="00756EDE" w:rsidP="00756EDE">
            <w:pPr>
              <w:rPr>
                <w:sz w:val="24"/>
                <w:szCs w:val="24"/>
              </w:rPr>
            </w:pPr>
            <w:r>
              <w:rPr>
                <w:sz w:val="24"/>
                <w:szCs w:val="24"/>
              </w:rPr>
              <w:t>Hispanic-Male</w:t>
            </w:r>
          </w:p>
        </w:tc>
        <w:tc>
          <w:tcPr>
            <w:tcW w:w="1157" w:type="dxa"/>
            <w:vAlign w:val="center"/>
          </w:tcPr>
          <w:p w14:paraId="2842D080" w14:textId="0CF3E66C" w:rsidR="00756EDE" w:rsidRPr="003777D0" w:rsidRDefault="00756EDE" w:rsidP="00756EDE">
            <w:pPr>
              <w:jc w:val="center"/>
              <w:rPr>
                <w:sz w:val="24"/>
                <w:szCs w:val="24"/>
              </w:rPr>
            </w:pPr>
            <w:r>
              <w:rPr>
                <w:sz w:val="24"/>
                <w:szCs w:val="24"/>
              </w:rPr>
              <w:t>-12.7%</w:t>
            </w:r>
          </w:p>
        </w:tc>
        <w:tc>
          <w:tcPr>
            <w:tcW w:w="1342" w:type="dxa"/>
            <w:vAlign w:val="center"/>
          </w:tcPr>
          <w:p w14:paraId="264594D2" w14:textId="522ECE4D" w:rsidR="00756EDE" w:rsidRPr="003777D0" w:rsidRDefault="00756EDE" w:rsidP="00756EDE">
            <w:pPr>
              <w:jc w:val="center"/>
              <w:rPr>
                <w:sz w:val="24"/>
                <w:szCs w:val="24"/>
              </w:rPr>
            </w:pPr>
            <w:r>
              <w:rPr>
                <w:sz w:val="24"/>
                <w:szCs w:val="24"/>
              </w:rPr>
              <w:t>-26.2%</w:t>
            </w:r>
          </w:p>
        </w:tc>
        <w:tc>
          <w:tcPr>
            <w:tcW w:w="1317" w:type="dxa"/>
            <w:vAlign w:val="center"/>
          </w:tcPr>
          <w:p w14:paraId="566AF95B" w14:textId="77777777" w:rsidR="00756EDE" w:rsidRPr="003777D0" w:rsidRDefault="00756EDE" w:rsidP="00756EDE">
            <w:pPr>
              <w:jc w:val="center"/>
              <w:rPr>
                <w:sz w:val="24"/>
                <w:szCs w:val="24"/>
              </w:rPr>
            </w:pPr>
          </w:p>
        </w:tc>
        <w:tc>
          <w:tcPr>
            <w:tcW w:w="1317" w:type="dxa"/>
            <w:vAlign w:val="center"/>
          </w:tcPr>
          <w:p w14:paraId="60ECF352" w14:textId="77777777" w:rsidR="00756EDE" w:rsidRPr="003777D0" w:rsidRDefault="00756EDE" w:rsidP="00756EDE">
            <w:pPr>
              <w:jc w:val="center"/>
              <w:rPr>
                <w:sz w:val="24"/>
                <w:szCs w:val="24"/>
              </w:rPr>
            </w:pPr>
          </w:p>
        </w:tc>
        <w:tc>
          <w:tcPr>
            <w:tcW w:w="1584" w:type="dxa"/>
            <w:vAlign w:val="center"/>
          </w:tcPr>
          <w:p w14:paraId="7D3F73C4" w14:textId="77777777" w:rsidR="00756EDE" w:rsidRPr="003777D0" w:rsidRDefault="00756EDE" w:rsidP="00756EDE">
            <w:pPr>
              <w:jc w:val="center"/>
              <w:rPr>
                <w:sz w:val="24"/>
                <w:szCs w:val="24"/>
              </w:rPr>
            </w:pPr>
          </w:p>
        </w:tc>
        <w:tc>
          <w:tcPr>
            <w:tcW w:w="1074" w:type="dxa"/>
            <w:vAlign w:val="center"/>
          </w:tcPr>
          <w:p w14:paraId="06492463" w14:textId="1585EC40" w:rsidR="00756EDE" w:rsidRPr="003777D0" w:rsidRDefault="00756EDE" w:rsidP="00756EDE">
            <w:pPr>
              <w:jc w:val="center"/>
              <w:rPr>
                <w:sz w:val="24"/>
                <w:szCs w:val="24"/>
              </w:rPr>
            </w:pPr>
            <w:r>
              <w:rPr>
                <w:sz w:val="24"/>
                <w:szCs w:val="24"/>
              </w:rPr>
              <w:t>2022-23</w:t>
            </w:r>
          </w:p>
        </w:tc>
      </w:tr>
      <w:tr w:rsidR="00756EDE" w:rsidRPr="003777D0" w14:paraId="469A8EAA" w14:textId="77777777" w:rsidTr="00375184">
        <w:tc>
          <w:tcPr>
            <w:tcW w:w="1559" w:type="dxa"/>
            <w:vMerge w:val="restart"/>
            <w:vAlign w:val="center"/>
          </w:tcPr>
          <w:p w14:paraId="43E6B14E" w14:textId="434B33C4" w:rsidR="00756EDE" w:rsidRPr="003777D0" w:rsidRDefault="00756EDE" w:rsidP="00756EDE">
            <w:pPr>
              <w:rPr>
                <w:sz w:val="24"/>
                <w:szCs w:val="24"/>
              </w:rPr>
            </w:pPr>
            <w:r>
              <w:rPr>
                <w:sz w:val="24"/>
                <w:szCs w:val="24"/>
              </w:rPr>
              <w:t>Online</w:t>
            </w:r>
          </w:p>
        </w:tc>
        <w:tc>
          <w:tcPr>
            <w:tcW w:w="1157" w:type="dxa"/>
            <w:vAlign w:val="center"/>
          </w:tcPr>
          <w:p w14:paraId="042CD0E3" w14:textId="01DF0503" w:rsidR="00756EDE" w:rsidRPr="003777D0" w:rsidRDefault="00756EDE" w:rsidP="00756EDE">
            <w:pPr>
              <w:jc w:val="center"/>
              <w:rPr>
                <w:sz w:val="24"/>
                <w:szCs w:val="24"/>
              </w:rPr>
            </w:pPr>
            <w:r>
              <w:rPr>
                <w:sz w:val="24"/>
                <w:szCs w:val="24"/>
              </w:rPr>
              <w:t>-11.6%</w:t>
            </w:r>
          </w:p>
        </w:tc>
        <w:tc>
          <w:tcPr>
            <w:tcW w:w="1342" w:type="dxa"/>
            <w:vAlign w:val="center"/>
          </w:tcPr>
          <w:p w14:paraId="465635E2" w14:textId="77777777" w:rsidR="00756EDE" w:rsidRPr="003777D0" w:rsidRDefault="00756EDE" w:rsidP="00756EDE">
            <w:pPr>
              <w:jc w:val="center"/>
              <w:rPr>
                <w:sz w:val="24"/>
                <w:szCs w:val="24"/>
              </w:rPr>
            </w:pPr>
          </w:p>
        </w:tc>
        <w:tc>
          <w:tcPr>
            <w:tcW w:w="1317" w:type="dxa"/>
            <w:vAlign w:val="center"/>
          </w:tcPr>
          <w:p w14:paraId="745DF963" w14:textId="77777777" w:rsidR="00756EDE" w:rsidRPr="003777D0" w:rsidRDefault="00756EDE" w:rsidP="00756EDE">
            <w:pPr>
              <w:jc w:val="center"/>
              <w:rPr>
                <w:sz w:val="24"/>
                <w:szCs w:val="24"/>
              </w:rPr>
            </w:pPr>
          </w:p>
        </w:tc>
        <w:tc>
          <w:tcPr>
            <w:tcW w:w="1317" w:type="dxa"/>
            <w:vAlign w:val="center"/>
          </w:tcPr>
          <w:p w14:paraId="54354672" w14:textId="77777777" w:rsidR="00756EDE" w:rsidRPr="003777D0" w:rsidRDefault="00756EDE" w:rsidP="00756EDE">
            <w:pPr>
              <w:jc w:val="center"/>
              <w:rPr>
                <w:sz w:val="24"/>
                <w:szCs w:val="24"/>
              </w:rPr>
            </w:pPr>
          </w:p>
        </w:tc>
        <w:tc>
          <w:tcPr>
            <w:tcW w:w="1584" w:type="dxa"/>
            <w:vAlign w:val="center"/>
          </w:tcPr>
          <w:p w14:paraId="1ADC6A71" w14:textId="77777777" w:rsidR="00756EDE" w:rsidRPr="003777D0" w:rsidRDefault="00756EDE" w:rsidP="00756EDE">
            <w:pPr>
              <w:jc w:val="center"/>
              <w:rPr>
                <w:sz w:val="24"/>
                <w:szCs w:val="24"/>
              </w:rPr>
            </w:pPr>
          </w:p>
        </w:tc>
        <w:tc>
          <w:tcPr>
            <w:tcW w:w="1074" w:type="dxa"/>
            <w:vAlign w:val="center"/>
          </w:tcPr>
          <w:p w14:paraId="14EC4187" w14:textId="51AE7F16" w:rsidR="00756EDE" w:rsidRPr="003777D0" w:rsidRDefault="00756EDE" w:rsidP="00756EDE">
            <w:pPr>
              <w:jc w:val="center"/>
              <w:rPr>
                <w:sz w:val="24"/>
                <w:szCs w:val="24"/>
              </w:rPr>
            </w:pPr>
            <w:r>
              <w:rPr>
                <w:sz w:val="24"/>
                <w:szCs w:val="24"/>
              </w:rPr>
              <w:t>2021-22</w:t>
            </w:r>
          </w:p>
        </w:tc>
      </w:tr>
      <w:tr w:rsidR="00756EDE" w:rsidRPr="003777D0" w14:paraId="225E0B08" w14:textId="77777777" w:rsidTr="00375184">
        <w:tc>
          <w:tcPr>
            <w:tcW w:w="1559" w:type="dxa"/>
            <w:vMerge/>
            <w:vAlign w:val="center"/>
          </w:tcPr>
          <w:p w14:paraId="6C3DAD81" w14:textId="77777777" w:rsidR="00756EDE" w:rsidRPr="003777D0" w:rsidRDefault="00756EDE" w:rsidP="00756EDE">
            <w:pPr>
              <w:rPr>
                <w:sz w:val="24"/>
                <w:szCs w:val="24"/>
              </w:rPr>
            </w:pPr>
          </w:p>
        </w:tc>
        <w:tc>
          <w:tcPr>
            <w:tcW w:w="1157" w:type="dxa"/>
            <w:vAlign w:val="center"/>
          </w:tcPr>
          <w:p w14:paraId="15362501" w14:textId="260FDAF1" w:rsidR="00756EDE" w:rsidRPr="003777D0" w:rsidRDefault="00756EDE" w:rsidP="00756EDE">
            <w:pPr>
              <w:jc w:val="center"/>
              <w:rPr>
                <w:sz w:val="24"/>
                <w:szCs w:val="24"/>
              </w:rPr>
            </w:pPr>
            <w:r>
              <w:rPr>
                <w:sz w:val="24"/>
                <w:szCs w:val="24"/>
              </w:rPr>
              <w:t>-9.8%</w:t>
            </w:r>
          </w:p>
        </w:tc>
        <w:tc>
          <w:tcPr>
            <w:tcW w:w="1342" w:type="dxa"/>
            <w:vAlign w:val="center"/>
          </w:tcPr>
          <w:p w14:paraId="593643A5" w14:textId="77777777" w:rsidR="00756EDE" w:rsidRPr="003777D0" w:rsidRDefault="00756EDE" w:rsidP="00756EDE">
            <w:pPr>
              <w:jc w:val="center"/>
              <w:rPr>
                <w:sz w:val="24"/>
                <w:szCs w:val="24"/>
              </w:rPr>
            </w:pPr>
          </w:p>
        </w:tc>
        <w:tc>
          <w:tcPr>
            <w:tcW w:w="1317" w:type="dxa"/>
            <w:vAlign w:val="center"/>
          </w:tcPr>
          <w:p w14:paraId="11CDF832" w14:textId="77777777" w:rsidR="00756EDE" w:rsidRPr="003777D0" w:rsidRDefault="00756EDE" w:rsidP="00756EDE">
            <w:pPr>
              <w:jc w:val="center"/>
              <w:rPr>
                <w:sz w:val="24"/>
                <w:szCs w:val="24"/>
              </w:rPr>
            </w:pPr>
          </w:p>
        </w:tc>
        <w:tc>
          <w:tcPr>
            <w:tcW w:w="1317" w:type="dxa"/>
            <w:vAlign w:val="center"/>
          </w:tcPr>
          <w:p w14:paraId="25B7552E" w14:textId="77777777" w:rsidR="00756EDE" w:rsidRPr="003777D0" w:rsidRDefault="00756EDE" w:rsidP="00756EDE">
            <w:pPr>
              <w:jc w:val="center"/>
              <w:rPr>
                <w:sz w:val="24"/>
                <w:szCs w:val="24"/>
              </w:rPr>
            </w:pPr>
          </w:p>
        </w:tc>
        <w:tc>
          <w:tcPr>
            <w:tcW w:w="1584" w:type="dxa"/>
            <w:vAlign w:val="center"/>
          </w:tcPr>
          <w:p w14:paraId="054B9656" w14:textId="77777777" w:rsidR="00756EDE" w:rsidRPr="003777D0" w:rsidRDefault="00756EDE" w:rsidP="00756EDE">
            <w:pPr>
              <w:jc w:val="center"/>
              <w:rPr>
                <w:sz w:val="24"/>
                <w:szCs w:val="24"/>
              </w:rPr>
            </w:pPr>
          </w:p>
        </w:tc>
        <w:tc>
          <w:tcPr>
            <w:tcW w:w="1074" w:type="dxa"/>
            <w:vAlign w:val="center"/>
          </w:tcPr>
          <w:p w14:paraId="3FD325CD" w14:textId="2E393A9C" w:rsidR="00756EDE" w:rsidRPr="003777D0" w:rsidRDefault="00756EDE" w:rsidP="00756EDE">
            <w:pPr>
              <w:jc w:val="center"/>
              <w:rPr>
                <w:sz w:val="24"/>
                <w:szCs w:val="24"/>
              </w:rPr>
            </w:pPr>
            <w:r>
              <w:rPr>
                <w:sz w:val="24"/>
                <w:szCs w:val="24"/>
              </w:rPr>
              <w:t>2023-24</w:t>
            </w:r>
          </w:p>
        </w:tc>
      </w:tr>
    </w:tbl>
    <w:p w14:paraId="661121FB" w14:textId="77777777" w:rsidR="001A10BB" w:rsidRDefault="001A10BB" w:rsidP="00E35855">
      <w:pPr>
        <w:rPr>
          <w:sz w:val="24"/>
          <w:szCs w:val="24"/>
        </w:rPr>
      </w:pPr>
    </w:p>
    <w:p w14:paraId="4C2DB170" w14:textId="57B65EA9" w:rsidR="00CA37AE" w:rsidRDefault="001A10BB" w:rsidP="001B1EF1">
      <w:pPr>
        <w:rPr>
          <w:rFonts w:ascii="Calibri" w:eastAsia="Calibri" w:hAnsi="Calibri" w:cs="Calibri"/>
          <w:sz w:val="24"/>
          <w:szCs w:val="24"/>
        </w:rPr>
      </w:pPr>
      <w:r>
        <w:rPr>
          <w:rFonts w:ascii="Calibri" w:eastAsia="Calibri" w:hAnsi="Calibri" w:cs="Calibri"/>
          <w:sz w:val="24"/>
          <w:szCs w:val="24"/>
        </w:rPr>
        <w:t>There are no significant equity gaps in course success rates by modality.</w:t>
      </w:r>
    </w:p>
    <w:p w14:paraId="0000007D" w14:textId="77777777" w:rsidR="0009573D" w:rsidRDefault="008A7CBB">
      <w:pPr>
        <w:rPr>
          <w:rFonts w:ascii="Calibri" w:eastAsia="Calibri" w:hAnsi="Calibri" w:cs="Calibri"/>
          <w:sz w:val="24"/>
          <w:szCs w:val="24"/>
        </w:rPr>
      </w:pPr>
      <w:bookmarkStart w:id="12" w:name="_xjixceugtdxs" w:colFirst="0" w:colLast="0"/>
      <w:bookmarkEnd w:id="12"/>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3" w:name="_x61wl580t1lz" w:colFirst="0" w:colLast="0"/>
      <w:bookmarkEnd w:id="13"/>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1"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2"/>
      <w:footerReference w:type="defaul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C05A3" w14:textId="77777777" w:rsidR="00F21CCD" w:rsidRDefault="00F21CCD">
      <w:pPr>
        <w:spacing w:line="240" w:lineRule="auto"/>
      </w:pPr>
      <w:r>
        <w:separator/>
      </w:r>
    </w:p>
  </w:endnote>
  <w:endnote w:type="continuationSeparator" w:id="0">
    <w:p w14:paraId="3B4836D2" w14:textId="77777777" w:rsidR="00F21CCD" w:rsidRDefault="00F21C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0B7E62B4-8E76-4F06-ADF2-49E2F53219C4}"/>
    <w:embedBold r:id="rId2" w:fontKey="{293D3F1D-ACAC-44FD-AC7D-736FAA2DF495}"/>
    <w:embedItalic r:id="rId3" w:fontKey="{30C8E497-C497-41E0-9A99-4209F5DDBA2B}"/>
    <w:embedBoldItalic r:id="rId4" w:fontKey="{F922746E-BEDF-4F26-9E10-A259375037B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ource Sans Pro">
    <w:charset w:val="00"/>
    <w:family w:val="swiss"/>
    <w:pitch w:val="variable"/>
    <w:sig w:usb0="600002F7" w:usb1="02000001" w:usb2="00000000" w:usb3="00000000" w:csb0="0000019F" w:csb1="00000000"/>
    <w:embedRegular r:id="rId5" w:fontKey="{DDAFE49C-36AA-4FFD-841E-9B7772E3360D}"/>
  </w:font>
  <w:font w:name="Roboto">
    <w:charset w:val="00"/>
    <w:family w:val="auto"/>
    <w:pitch w:val="variable"/>
    <w:sig w:usb0="E00002FF" w:usb1="5000205B" w:usb2="00000020" w:usb3="00000000" w:csb0="0000019F" w:csb1="00000000"/>
    <w:embedRegular r:id="rId6" w:fontKey="{AC61730D-75ED-4E75-BF28-34614ACF3B19}"/>
  </w:font>
  <w:font w:name="Cambria">
    <w:panose1 w:val="02040503050406030204"/>
    <w:charset w:val="00"/>
    <w:family w:val="roman"/>
    <w:pitch w:val="variable"/>
    <w:sig w:usb0="A00002EF" w:usb1="4000004B" w:usb2="00000000" w:usb3="00000000" w:csb0="0000009F" w:csb1="00000000"/>
    <w:embedRegular r:id="rId7" w:fontKey="{C1C626E7-B9BE-4EFA-9BE4-905F844E43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070B4" w14:textId="77777777" w:rsidR="00F21CCD" w:rsidRDefault="00F21CCD">
      <w:pPr>
        <w:spacing w:line="240" w:lineRule="auto"/>
      </w:pPr>
      <w:r>
        <w:separator/>
      </w:r>
    </w:p>
  </w:footnote>
  <w:footnote w:type="continuationSeparator" w:id="0">
    <w:p w14:paraId="652B508B" w14:textId="77777777" w:rsidR="00F21CCD" w:rsidRDefault="00F21C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3681E"/>
    <w:rsid w:val="00053C17"/>
    <w:rsid w:val="000740C9"/>
    <w:rsid w:val="0009573D"/>
    <w:rsid w:val="000978C9"/>
    <w:rsid w:val="00097A6A"/>
    <w:rsid w:val="000C3CE7"/>
    <w:rsid w:val="000D23B6"/>
    <w:rsid w:val="000D3E58"/>
    <w:rsid w:val="000D5AD0"/>
    <w:rsid w:val="0011212F"/>
    <w:rsid w:val="00136E5D"/>
    <w:rsid w:val="00163B9F"/>
    <w:rsid w:val="001812B5"/>
    <w:rsid w:val="001A10BB"/>
    <w:rsid w:val="001A6C6B"/>
    <w:rsid w:val="001B1EF1"/>
    <w:rsid w:val="001B59EC"/>
    <w:rsid w:val="001B7446"/>
    <w:rsid w:val="00244974"/>
    <w:rsid w:val="00275B98"/>
    <w:rsid w:val="002A684B"/>
    <w:rsid w:val="002A74F6"/>
    <w:rsid w:val="00356980"/>
    <w:rsid w:val="00375184"/>
    <w:rsid w:val="003D3D3F"/>
    <w:rsid w:val="00444F46"/>
    <w:rsid w:val="00457D52"/>
    <w:rsid w:val="004A43D0"/>
    <w:rsid w:val="00576408"/>
    <w:rsid w:val="005B5B82"/>
    <w:rsid w:val="005B6357"/>
    <w:rsid w:val="005C3B06"/>
    <w:rsid w:val="005D3549"/>
    <w:rsid w:val="005E0B58"/>
    <w:rsid w:val="00604FA9"/>
    <w:rsid w:val="00670051"/>
    <w:rsid w:val="006A04C9"/>
    <w:rsid w:val="006E376F"/>
    <w:rsid w:val="006E42B9"/>
    <w:rsid w:val="007141F2"/>
    <w:rsid w:val="00756EDE"/>
    <w:rsid w:val="007622A3"/>
    <w:rsid w:val="007B7ABF"/>
    <w:rsid w:val="007F5618"/>
    <w:rsid w:val="008417BF"/>
    <w:rsid w:val="00854133"/>
    <w:rsid w:val="0086324D"/>
    <w:rsid w:val="008900A4"/>
    <w:rsid w:val="008A7CBB"/>
    <w:rsid w:val="008B3C69"/>
    <w:rsid w:val="008C7825"/>
    <w:rsid w:val="009111E1"/>
    <w:rsid w:val="0095579D"/>
    <w:rsid w:val="00960785"/>
    <w:rsid w:val="0099310A"/>
    <w:rsid w:val="009E3890"/>
    <w:rsid w:val="009F22FE"/>
    <w:rsid w:val="00A046B0"/>
    <w:rsid w:val="00A10C66"/>
    <w:rsid w:val="00A51ECC"/>
    <w:rsid w:val="00A576AA"/>
    <w:rsid w:val="00B164F3"/>
    <w:rsid w:val="00B26CF9"/>
    <w:rsid w:val="00B45E38"/>
    <w:rsid w:val="00BA47C7"/>
    <w:rsid w:val="00BF5200"/>
    <w:rsid w:val="00C25185"/>
    <w:rsid w:val="00C87219"/>
    <w:rsid w:val="00C960DA"/>
    <w:rsid w:val="00CA37AE"/>
    <w:rsid w:val="00D77889"/>
    <w:rsid w:val="00D93B74"/>
    <w:rsid w:val="00DA0629"/>
    <w:rsid w:val="00DE11D0"/>
    <w:rsid w:val="00E34F5A"/>
    <w:rsid w:val="00E35855"/>
    <w:rsid w:val="00E535BF"/>
    <w:rsid w:val="00E723DF"/>
    <w:rsid w:val="00EE2F2D"/>
    <w:rsid w:val="00F21CCD"/>
    <w:rsid w:val="00F40FCC"/>
    <w:rsid w:val="00F70C9E"/>
    <w:rsid w:val="00F96F20"/>
    <w:rsid w:val="00F9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nadacollege.edu/prie/data-dashboards.php" TargetMode="External"/><Relationship Id="rId13" Type="http://schemas.openxmlformats.org/officeDocument/2006/relationships/image" Target="media/image2.png"/><Relationship Id="rId18" Type="http://schemas.openxmlformats.org/officeDocument/2006/relationships/hyperlink" Target="https://canadacollege.edu/prie/data-dashboards.php" TargetMode="External"/><Relationship Id="rId3" Type="http://schemas.openxmlformats.org/officeDocument/2006/relationships/styles" Target="styles.xml"/><Relationship Id="rId21" Type="http://schemas.openxmlformats.org/officeDocument/2006/relationships/hyperlink" Target="https://public.tableau.com/app/profile/tracy.huang8490/viz/SMCCCDZTCDashboard_17787964925560/Definition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canadacollege.edu/prie/dashboards/disproportionate-impact.ph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canadacollege.edu/prie/dashboards/disproportionate-impact.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ollege.edu/prie/data-dashboards.ph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adacollege.edu/prie/data-dashboards.php" TargetMode="External"/><Relationship Id="rId23" Type="http://schemas.openxmlformats.org/officeDocument/2006/relationships/footer" Target="footer1.xml"/><Relationship Id="rId10" Type="http://schemas.openxmlformats.org/officeDocument/2006/relationships/hyperlink" Target="https://canada.programmapper.ws/academics"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public.tableau.com/views/ProgramCompleteability_17750644517500/Courses?:language=en-US&amp;:sid=&amp;:redirect=auth&amp;:display_count=n&amp;:origin=viz_share_link" TargetMode="Externa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BADD2-B0C4-4566-9C6C-11C3D7DF9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1294</Words>
  <Characters>7381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Engel, Karen</dc:creator>
  <cp:lastModifiedBy>Engel, Karen</cp:lastModifiedBy>
  <cp:revision>2</cp:revision>
  <dcterms:created xsi:type="dcterms:W3CDTF">2026-07-21T23:37:00Z</dcterms:created>
  <dcterms:modified xsi:type="dcterms:W3CDTF">2026-07-21T23:37:00Z</dcterms:modified>
</cp:coreProperties>
</file>