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18463220" w:rsidR="006E376F" w:rsidRPr="006E376F" w:rsidRDefault="003C573D" w:rsidP="006E376F">
      <w:pPr>
        <w:jc w:val="center"/>
        <w:rPr>
          <w:rFonts w:ascii="Calibri" w:eastAsia="Calibri" w:hAnsi="Calibri" w:cs="Calibri"/>
          <w:b/>
          <w:bCs/>
          <w:sz w:val="44"/>
          <w:szCs w:val="44"/>
        </w:rPr>
      </w:pPr>
      <w:r w:rsidRPr="003C573D">
        <w:rPr>
          <w:rFonts w:ascii="Calibri" w:eastAsia="Calibri" w:hAnsi="Calibri" w:cs="Calibri"/>
          <w:b/>
          <w:bCs/>
          <w:sz w:val="32"/>
          <w:szCs w:val="32"/>
        </w:rPr>
        <w:t>Ethnic Studies</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List any significant changes that have occurred over the prior years in your program's  curricular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D12184">
        <w:rPr>
          <w:rFonts w:asciiTheme="majorHAnsi" w:hAnsiTheme="majorHAnsi" w:cstheme="majorHAnsi"/>
          <w:highlight w:val="yellow"/>
        </w:rPr>
        <w:t xml:space="preserve">Program Maps are available on the Cañada College website </w:t>
      </w:r>
      <w:hyperlink r:id="rId9" w:history="1">
        <w:r w:rsidRPr="00D12184">
          <w:rPr>
            <w:rStyle w:val="Hyperlink"/>
            <w:rFonts w:asciiTheme="majorHAnsi" w:hAnsiTheme="majorHAnsi" w:cstheme="majorHAnsi"/>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3AF688FA" w14:textId="465B62E6" w:rsidR="003C573D" w:rsidRDefault="003C573D">
      <w:pPr>
        <w:rPr>
          <w:rFonts w:ascii="Calibri" w:eastAsia="Calibri" w:hAnsi="Calibri" w:cs="Calibri"/>
          <w:sz w:val="24"/>
          <w:szCs w:val="24"/>
        </w:rPr>
      </w:pPr>
      <w:r w:rsidRPr="003C573D">
        <w:rPr>
          <w:rFonts w:ascii="Calibri" w:eastAsia="Calibri" w:hAnsi="Calibri" w:cs="Calibri"/>
          <w:noProof/>
          <w:sz w:val="24"/>
          <w:szCs w:val="24"/>
        </w:rPr>
        <w:drawing>
          <wp:inline distT="0" distB="0" distL="0" distR="0" wp14:anchorId="3AEDDB0F" wp14:editId="686FB8DD">
            <wp:extent cx="5943600" cy="4308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308475"/>
                    </a:xfrm>
                    <a:prstGeom prst="rect">
                      <a:avLst/>
                    </a:prstGeom>
                  </pic:spPr>
                </pic:pic>
              </a:graphicData>
            </a:graphic>
          </wp:inline>
        </w:drawing>
      </w:r>
    </w:p>
    <w:p w14:paraId="74D59CE1" w14:textId="02015D7E" w:rsidR="00E34F5A" w:rsidRDefault="003C573D">
      <w:pPr>
        <w:rPr>
          <w:rFonts w:ascii="Calibri" w:eastAsia="Calibri" w:hAnsi="Calibri" w:cs="Calibri"/>
          <w:sz w:val="24"/>
          <w:szCs w:val="24"/>
        </w:rPr>
      </w:pPr>
      <w:r w:rsidRPr="003C573D">
        <w:rPr>
          <w:rFonts w:ascii="Calibri" w:eastAsia="Calibri" w:hAnsi="Calibri" w:cs="Calibri"/>
          <w:sz w:val="24"/>
          <w:szCs w:val="24"/>
        </w:rPr>
        <w:t>The overall trend is positive, as both enrollment and headcount climbed sharply from a low in 2021–2022 to reach their highest points by the final yea</w:t>
      </w:r>
      <w:r>
        <w:rPr>
          <w:rFonts w:ascii="Calibri" w:eastAsia="Calibri" w:hAnsi="Calibri" w:cs="Calibri"/>
          <w:sz w:val="24"/>
          <w:szCs w:val="24"/>
        </w:rPr>
        <w:t>r.</w:t>
      </w:r>
      <w:r w:rsidR="00C85FD8">
        <w:rPr>
          <w:rFonts w:ascii="Calibri" w:eastAsia="Calibri" w:hAnsi="Calibri" w:cs="Calibri"/>
          <w:sz w:val="24"/>
          <w:szCs w:val="24"/>
        </w:rPr>
        <w:t xml:space="preserve"> As most enrollments have been unique, the total enrollments are the same as the total headcount.</w:t>
      </w:r>
    </w:p>
    <w:p w14:paraId="0BB8C085" w14:textId="49BE7426" w:rsidR="003C573D" w:rsidRDefault="003C573D">
      <w:pPr>
        <w:rPr>
          <w:rFonts w:ascii="Calibri" w:eastAsia="Calibri" w:hAnsi="Calibri" w:cs="Calibri"/>
          <w:sz w:val="24"/>
          <w:szCs w:val="24"/>
        </w:rPr>
      </w:pPr>
    </w:p>
    <w:p w14:paraId="2A7ABABC" w14:textId="4DCA5D37" w:rsidR="003C573D" w:rsidRDefault="003C573D">
      <w:pPr>
        <w:rPr>
          <w:rFonts w:ascii="Calibri" w:eastAsia="Calibri" w:hAnsi="Calibri" w:cs="Calibri"/>
          <w:sz w:val="24"/>
          <w:szCs w:val="24"/>
        </w:rPr>
      </w:pPr>
      <w:r w:rsidRPr="003C573D">
        <w:rPr>
          <w:rFonts w:ascii="Calibri" w:eastAsia="Calibri" w:hAnsi="Calibri" w:cs="Calibri"/>
          <w:noProof/>
          <w:sz w:val="24"/>
          <w:szCs w:val="24"/>
        </w:rPr>
        <w:lastRenderedPageBreak/>
        <w:drawing>
          <wp:inline distT="0" distB="0" distL="0" distR="0" wp14:anchorId="6766F1C0" wp14:editId="73554CBB">
            <wp:extent cx="5925377" cy="427732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25377" cy="4277322"/>
                    </a:xfrm>
                    <a:prstGeom prst="rect">
                      <a:avLst/>
                    </a:prstGeom>
                  </pic:spPr>
                </pic:pic>
              </a:graphicData>
            </a:graphic>
          </wp:inline>
        </w:drawing>
      </w:r>
    </w:p>
    <w:p w14:paraId="0D8FEC52" w14:textId="4657B3D3" w:rsidR="003C573D" w:rsidRDefault="003C573D">
      <w:pPr>
        <w:rPr>
          <w:rFonts w:ascii="Calibri" w:eastAsia="Calibri" w:hAnsi="Calibri" w:cs="Calibri"/>
          <w:sz w:val="24"/>
          <w:szCs w:val="24"/>
        </w:rPr>
      </w:pPr>
      <w:r w:rsidRPr="003C573D">
        <w:rPr>
          <w:rFonts w:ascii="Calibri" w:eastAsia="Calibri" w:hAnsi="Calibri" w:cs="Calibri"/>
          <w:sz w:val="24"/>
          <w:szCs w:val="24"/>
        </w:rPr>
        <w:t xml:space="preserve">The overall trend is positive, as FTES numbers steadily climbed from a low in 2021–2022 to reach their highest point of 53 by </w:t>
      </w:r>
      <w:r w:rsidR="00007853">
        <w:rPr>
          <w:rFonts w:ascii="Calibri" w:eastAsia="Calibri" w:hAnsi="Calibri" w:cs="Calibri"/>
          <w:sz w:val="24"/>
          <w:szCs w:val="24"/>
        </w:rPr>
        <w:t>2025-26</w:t>
      </w:r>
      <w:r w:rsidRPr="003C573D">
        <w:rPr>
          <w:rFonts w:ascii="Calibri" w:eastAsia="Calibri" w:hAnsi="Calibri" w:cs="Calibri"/>
          <w:sz w:val="24"/>
          <w:szCs w:val="24"/>
        </w:rPr>
        <w:t xml:space="preserve">, while FTEF </w:t>
      </w:r>
      <w:r w:rsidR="00007853">
        <w:rPr>
          <w:rFonts w:ascii="Calibri" w:eastAsia="Calibri" w:hAnsi="Calibri" w:cs="Calibri"/>
          <w:sz w:val="24"/>
          <w:szCs w:val="24"/>
        </w:rPr>
        <w:t>increased from 1 to 2 in 2024-25.</w:t>
      </w:r>
    </w:p>
    <w:p w14:paraId="38A46517" w14:textId="15C6FAE9" w:rsidR="003C573D" w:rsidRDefault="003C573D">
      <w:pPr>
        <w:rPr>
          <w:rFonts w:ascii="Calibri" w:eastAsia="Calibri" w:hAnsi="Calibri" w:cs="Calibri"/>
          <w:sz w:val="24"/>
          <w:szCs w:val="24"/>
        </w:rPr>
      </w:pPr>
    </w:p>
    <w:p w14:paraId="0D948CD2" w14:textId="65C23C7D" w:rsidR="003C573D" w:rsidRDefault="003C573D">
      <w:pPr>
        <w:rPr>
          <w:rFonts w:ascii="Calibri" w:eastAsia="Calibri" w:hAnsi="Calibri" w:cs="Calibri"/>
          <w:sz w:val="24"/>
          <w:szCs w:val="24"/>
        </w:rPr>
      </w:pPr>
      <w:r w:rsidRPr="003C573D">
        <w:rPr>
          <w:rFonts w:ascii="Calibri" w:eastAsia="Calibri" w:hAnsi="Calibri" w:cs="Calibri"/>
          <w:noProof/>
          <w:sz w:val="24"/>
          <w:szCs w:val="24"/>
        </w:rPr>
        <w:lastRenderedPageBreak/>
        <w:drawing>
          <wp:inline distT="0" distB="0" distL="0" distR="0" wp14:anchorId="679765E5" wp14:editId="362CDDE8">
            <wp:extent cx="5887272" cy="442974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87272" cy="4429743"/>
                    </a:xfrm>
                    <a:prstGeom prst="rect">
                      <a:avLst/>
                    </a:prstGeom>
                  </pic:spPr>
                </pic:pic>
              </a:graphicData>
            </a:graphic>
          </wp:inline>
        </w:drawing>
      </w:r>
    </w:p>
    <w:p w14:paraId="22404B09" w14:textId="652CE0C1" w:rsidR="003C573D" w:rsidRDefault="003C573D">
      <w:pPr>
        <w:rPr>
          <w:rFonts w:ascii="Calibri" w:eastAsia="Calibri" w:hAnsi="Calibri" w:cs="Calibri"/>
          <w:sz w:val="24"/>
          <w:szCs w:val="24"/>
        </w:rPr>
      </w:pPr>
      <w:r w:rsidRPr="003C573D">
        <w:rPr>
          <w:rFonts w:ascii="Calibri" w:eastAsia="Calibri" w:hAnsi="Calibri" w:cs="Calibri"/>
          <w:sz w:val="24"/>
          <w:szCs w:val="24"/>
        </w:rPr>
        <w:t>The overall trend is positive, as the load climbed sharply from a low in 2021–2022 to reach near-peak levels of 567 by the final year, despite an intermediate dip in 2024–2025.</w:t>
      </w:r>
    </w:p>
    <w:p w14:paraId="05B72F06" w14:textId="77777777" w:rsidR="003C573D" w:rsidRDefault="003C573D">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C001FC" w:rsidRPr="003777D0" w14:paraId="6458110B" w14:textId="77777777" w:rsidTr="00DF0518">
        <w:tc>
          <w:tcPr>
            <w:tcW w:w="1842" w:type="dxa"/>
            <w:vMerge w:val="restart"/>
          </w:tcPr>
          <w:p w14:paraId="53DFD1A2" w14:textId="38EF16B7" w:rsidR="00C001FC" w:rsidRPr="00C001FC" w:rsidRDefault="00C001FC" w:rsidP="00DF0518">
            <w:pPr>
              <w:rPr>
                <w:sz w:val="24"/>
                <w:szCs w:val="24"/>
              </w:rPr>
            </w:pPr>
            <w:r w:rsidRPr="00C001FC">
              <w:rPr>
                <w:sz w:val="24"/>
                <w:szCs w:val="24"/>
              </w:rPr>
              <w:t>Less than Part-Time</w:t>
            </w:r>
          </w:p>
        </w:tc>
        <w:tc>
          <w:tcPr>
            <w:tcW w:w="3373" w:type="dxa"/>
          </w:tcPr>
          <w:p w14:paraId="4C7A242B" w14:textId="0E2F2CB5" w:rsidR="00C001FC" w:rsidRDefault="00C001FC" w:rsidP="00DF0518">
            <w:pPr>
              <w:jc w:val="center"/>
              <w:rPr>
                <w:sz w:val="24"/>
                <w:szCs w:val="24"/>
              </w:rPr>
            </w:pPr>
            <w:r>
              <w:rPr>
                <w:sz w:val="24"/>
                <w:szCs w:val="24"/>
              </w:rPr>
              <w:t>-12.8%</w:t>
            </w:r>
          </w:p>
        </w:tc>
        <w:tc>
          <w:tcPr>
            <w:tcW w:w="3240" w:type="dxa"/>
          </w:tcPr>
          <w:p w14:paraId="04CA6A2E" w14:textId="72B03628" w:rsidR="00C001FC" w:rsidRDefault="00C001FC" w:rsidP="00DF0518">
            <w:pPr>
              <w:jc w:val="center"/>
              <w:rPr>
                <w:sz w:val="24"/>
                <w:szCs w:val="24"/>
              </w:rPr>
            </w:pPr>
            <w:r>
              <w:rPr>
                <w:sz w:val="24"/>
                <w:szCs w:val="24"/>
              </w:rPr>
              <w:t>2022-23</w:t>
            </w:r>
          </w:p>
        </w:tc>
      </w:tr>
      <w:tr w:rsidR="00C001FC" w:rsidRPr="003777D0" w14:paraId="685ECFE0" w14:textId="77777777" w:rsidTr="00DF0518">
        <w:tc>
          <w:tcPr>
            <w:tcW w:w="1842" w:type="dxa"/>
            <w:vMerge/>
          </w:tcPr>
          <w:p w14:paraId="09ED89A9" w14:textId="77777777" w:rsidR="00C001FC" w:rsidRPr="003777D0" w:rsidRDefault="00C001FC" w:rsidP="00DF0518">
            <w:pPr>
              <w:rPr>
                <w:b/>
                <w:bCs/>
                <w:sz w:val="24"/>
                <w:szCs w:val="24"/>
                <w:u w:val="single"/>
              </w:rPr>
            </w:pPr>
          </w:p>
        </w:tc>
        <w:tc>
          <w:tcPr>
            <w:tcW w:w="3373" w:type="dxa"/>
          </w:tcPr>
          <w:p w14:paraId="78C6DB01" w14:textId="31E1DA42" w:rsidR="00C001FC" w:rsidRDefault="00C001FC" w:rsidP="00DF0518">
            <w:pPr>
              <w:jc w:val="center"/>
              <w:rPr>
                <w:sz w:val="24"/>
                <w:szCs w:val="24"/>
              </w:rPr>
            </w:pPr>
            <w:r>
              <w:rPr>
                <w:sz w:val="24"/>
                <w:szCs w:val="24"/>
              </w:rPr>
              <w:t>-11.2%</w:t>
            </w:r>
          </w:p>
        </w:tc>
        <w:tc>
          <w:tcPr>
            <w:tcW w:w="3240" w:type="dxa"/>
          </w:tcPr>
          <w:p w14:paraId="7FCCA18E" w14:textId="7FAF38E9" w:rsidR="00C001FC" w:rsidRDefault="00C001FC" w:rsidP="00DF0518">
            <w:pPr>
              <w:jc w:val="center"/>
              <w:rPr>
                <w:sz w:val="24"/>
                <w:szCs w:val="24"/>
              </w:rPr>
            </w:pPr>
            <w:r>
              <w:rPr>
                <w:sz w:val="24"/>
                <w:szCs w:val="24"/>
              </w:rPr>
              <w:t>2023-24</w:t>
            </w:r>
          </w:p>
        </w:tc>
      </w:tr>
      <w:tr w:rsidR="00C001FC" w:rsidRPr="003777D0" w14:paraId="3D69106D" w14:textId="77777777" w:rsidTr="00DF0518">
        <w:tc>
          <w:tcPr>
            <w:tcW w:w="1842" w:type="dxa"/>
            <w:vMerge/>
          </w:tcPr>
          <w:p w14:paraId="1859B7FE" w14:textId="77777777" w:rsidR="00C001FC" w:rsidRPr="003777D0" w:rsidRDefault="00C001FC" w:rsidP="00DF0518">
            <w:pPr>
              <w:rPr>
                <w:b/>
                <w:bCs/>
                <w:sz w:val="24"/>
                <w:szCs w:val="24"/>
                <w:u w:val="single"/>
              </w:rPr>
            </w:pPr>
          </w:p>
        </w:tc>
        <w:tc>
          <w:tcPr>
            <w:tcW w:w="3373" w:type="dxa"/>
          </w:tcPr>
          <w:p w14:paraId="44F4492A" w14:textId="7C276431" w:rsidR="00C001FC" w:rsidRDefault="00C001FC" w:rsidP="00DF0518">
            <w:pPr>
              <w:jc w:val="center"/>
              <w:rPr>
                <w:sz w:val="24"/>
                <w:szCs w:val="24"/>
              </w:rPr>
            </w:pPr>
            <w:r>
              <w:rPr>
                <w:sz w:val="24"/>
                <w:szCs w:val="24"/>
              </w:rPr>
              <w:t>-11.8%</w:t>
            </w:r>
          </w:p>
        </w:tc>
        <w:tc>
          <w:tcPr>
            <w:tcW w:w="3240" w:type="dxa"/>
          </w:tcPr>
          <w:p w14:paraId="6AA7AB71" w14:textId="57A5CE6F" w:rsidR="00C001FC" w:rsidRDefault="00C001FC" w:rsidP="00DF0518">
            <w:pPr>
              <w:jc w:val="center"/>
              <w:rPr>
                <w:sz w:val="24"/>
                <w:szCs w:val="24"/>
              </w:rPr>
            </w:pPr>
            <w:r>
              <w:rPr>
                <w:sz w:val="24"/>
                <w:szCs w:val="24"/>
              </w:rPr>
              <w:t>2024-25</w:t>
            </w:r>
          </w:p>
        </w:tc>
      </w:tr>
      <w:tr w:rsidR="00C001FC" w:rsidRPr="003777D0" w14:paraId="48AD9577" w14:textId="77777777" w:rsidTr="00DF0518">
        <w:tc>
          <w:tcPr>
            <w:tcW w:w="1842" w:type="dxa"/>
            <w:vMerge/>
          </w:tcPr>
          <w:p w14:paraId="02A8018A" w14:textId="77777777" w:rsidR="00C001FC" w:rsidRPr="003777D0" w:rsidRDefault="00C001FC" w:rsidP="00DF0518">
            <w:pPr>
              <w:rPr>
                <w:b/>
                <w:bCs/>
                <w:sz w:val="24"/>
                <w:szCs w:val="24"/>
                <w:u w:val="single"/>
              </w:rPr>
            </w:pPr>
          </w:p>
        </w:tc>
        <w:tc>
          <w:tcPr>
            <w:tcW w:w="3373" w:type="dxa"/>
          </w:tcPr>
          <w:p w14:paraId="024FB9BE" w14:textId="4B778F3B" w:rsidR="00C001FC" w:rsidRDefault="00C001FC" w:rsidP="00DF0518">
            <w:pPr>
              <w:jc w:val="center"/>
              <w:rPr>
                <w:sz w:val="24"/>
                <w:szCs w:val="24"/>
              </w:rPr>
            </w:pPr>
            <w:r>
              <w:rPr>
                <w:sz w:val="24"/>
                <w:szCs w:val="24"/>
              </w:rPr>
              <w:t>-12.1%</w:t>
            </w:r>
          </w:p>
        </w:tc>
        <w:tc>
          <w:tcPr>
            <w:tcW w:w="3240" w:type="dxa"/>
          </w:tcPr>
          <w:p w14:paraId="479560C1" w14:textId="1C704EA0" w:rsidR="00C001FC" w:rsidRDefault="00C001FC" w:rsidP="00DF0518">
            <w:pPr>
              <w:jc w:val="center"/>
              <w:rPr>
                <w:sz w:val="24"/>
                <w:szCs w:val="24"/>
              </w:rPr>
            </w:pPr>
            <w:r>
              <w:rPr>
                <w:sz w:val="24"/>
                <w:szCs w:val="24"/>
              </w:rPr>
              <w:t>2025-26</w:t>
            </w:r>
          </w:p>
        </w:tc>
      </w:tr>
    </w:tbl>
    <w:p w14:paraId="745EBB5E" w14:textId="77777777" w:rsidR="00FC7946" w:rsidRDefault="00FC7946" w:rsidP="003D1660">
      <w:pPr>
        <w:rPr>
          <w:rFonts w:ascii="Calibri" w:eastAsia="Calibri" w:hAnsi="Calibri" w:cs="Calibri"/>
          <w:sz w:val="24"/>
          <w:szCs w:val="24"/>
          <w:lang w:val="en-US"/>
        </w:rPr>
      </w:pPr>
    </w:p>
    <w:p w14:paraId="11B000AA" w14:textId="2389469D" w:rsidR="003D1660" w:rsidRPr="003D1660" w:rsidRDefault="00FC7946" w:rsidP="003D1660">
      <w:pPr>
        <w:rPr>
          <w:rFonts w:ascii="Calibri" w:eastAsia="Calibri" w:hAnsi="Calibri" w:cs="Calibri"/>
          <w:sz w:val="24"/>
          <w:szCs w:val="24"/>
          <w:lang w:val="en-US"/>
        </w:rPr>
      </w:pPr>
      <w:r>
        <w:rPr>
          <w:rFonts w:ascii="Calibri" w:eastAsia="Calibri" w:hAnsi="Calibri" w:cs="Calibri"/>
          <w:sz w:val="24"/>
          <w:szCs w:val="24"/>
          <w:lang w:val="en-US"/>
        </w:rPr>
        <w:t>Students taking less than 6 units per term are disproportionately less likely to enroll in Ethnic Studies.</w:t>
      </w:r>
    </w:p>
    <w:p w14:paraId="407AA9B4" w14:textId="77777777" w:rsidR="00E34F5A" w:rsidRDefault="00E34F5A">
      <w:pPr>
        <w:rPr>
          <w:rFonts w:ascii="Calibri" w:eastAsia="Calibri" w:hAnsi="Calibri" w:cs="Calibri"/>
          <w:sz w:val="24"/>
          <w:szCs w:val="24"/>
        </w:rPr>
      </w:pPr>
    </w:p>
    <w:p w14:paraId="00000045" w14:textId="77777777" w:rsidR="0009573D" w:rsidRDefault="008A7CBB">
      <w:pPr>
        <w:pStyle w:val="Heading2"/>
      </w:pPr>
      <w:bookmarkStart w:id="7" w:name="_t70ry0elr2bp" w:colFirst="0" w:colLast="0"/>
      <w:bookmarkEnd w:id="7"/>
      <w:r>
        <w:lastRenderedPageBreak/>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664FE773" w14:textId="77777777" w:rsidR="006A04C9" w:rsidRDefault="006A04C9">
      <w:pPr>
        <w:rPr>
          <w:rFonts w:ascii="Calibri" w:eastAsia="Calibri" w:hAnsi="Calibri" w:cs="Calibri"/>
          <w:sz w:val="24"/>
          <w:szCs w:val="24"/>
        </w:rPr>
      </w:pPr>
    </w:p>
    <w:p w14:paraId="7C0E43C5" w14:textId="3A752BCB" w:rsidR="006A04C9" w:rsidRDefault="00AE5843" w:rsidP="006A04C9">
      <w:pPr>
        <w:rPr>
          <w:rFonts w:ascii="Calibri" w:eastAsia="Calibri" w:hAnsi="Calibri" w:cs="Calibri"/>
          <w:sz w:val="24"/>
          <w:szCs w:val="24"/>
        </w:rPr>
      </w:pPr>
      <w:r w:rsidRPr="00AE5843">
        <w:rPr>
          <w:rFonts w:ascii="Calibri" w:eastAsia="Calibri" w:hAnsi="Calibri" w:cs="Calibri"/>
          <w:noProof/>
          <w:sz w:val="24"/>
          <w:szCs w:val="24"/>
        </w:rPr>
        <w:drawing>
          <wp:inline distT="0" distB="0" distL="0" distR="0" wp14:anchorId="3C1DD0BB" wp14:editId="05FE1833">
            <wp:extent cx="3930555" cy="443300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42785" cy="4446798"/>
                    </a:xfrm>
                    <a:prstGeom prst="rect">
                      <a:avLst/>
                    </a:prstGeom>
                  </pic:spPr>
                </pic:pic>
              </a:graphicData>
            </a:graphic>
          </wp:inline>
        </w:drawing>
      </w:r>
    </w:p>
    <w:p w14:paraId="078DCF75" w14:textId="3A37720E" w:rsidR="008A6473" w:rsidRDefault="008A6473" w:rsidP="006A04C9">
      <w:pPr>
        <w:rPr>
          <w:rFonts w:ascii="Calibri" w:eastAsia="Calibri" w:hAnsi="Calibri" w:cs="Calibri"/>
          <w:sz w:val="24"/>
          <w:szCs w:val="24"/>
        </w:rPr>
      </w:pPr>
    </w:p>
    <w:p w14:paraId="5DC889B7" w14:textId="7A33D295" w:rsidR="00670051" w:rsidRDefault="00AE5843" w:rsidP="006A04C9">
      <w:pPr>
        <w:rPr>
          <w:rFonts w:ascii="Calibri" w:eastAsia="Calibri" w:hAnsi="Calibri" w:cs="Calibri"/>
          <w:sz w:val="24"/>
          <w:szCs w:val="24"/>
        </w:rPr>
      </w:pPr>
      <w:r w:rsidRPr="00AE5843">
        <w:rPr>
          <w:rFonts w:ascii="Calibri" w:eastAsia="Calibri" w:hAnsi="Calibri" w:cs="Calibri"/>
          <w:sz w:val="24"/>
          <w:szCs w:val="24"/>
        </w:rPr>
        <w:t>The overall trend is positive, as success rates steadily rose to a peak of 83% while withdraw rates dropped to a low of 6%.</w:t>
      </w:r>
    </w:p>
    <w:p w14:paraId="3122A53A" w14:textId="77777777" w:rsidR="00AE5843" w:rsidRDefault="00AE5843" w:rsidP="006A04C9">
      <w:pPr>
        <w:rPr>
          <w:rFonts w:ascii="Calibri" w:eastAsia="Calibri" w:hAnsi="Calibri" w:cs="Calibri"/>
          <w:sz w:val="24"/>
          <w:szCs w:val="24"/>
        </w:rPr>
      </w:pP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p w14:paraId="1865FC69" w14:textId="1D8598DB" w:rsidR="00670051" w:rsidRPr="00763354" w:rsidRDefault="00763354" w:rsidP="00670051">
      <w:pPr>
        <w:rPr>
          <w:rFonts w:ascii="Calibri" w:eastAsia="Calibri" w:hAnsi="Calibri" w:cs="Calibri"/>
          <w:sz w:val="24"/>
          <w:szCs w:val="24"/>
        </w:rPr>
      </w:pPr>
      <w:bookmarkStart w:id="10" w:name="_Hlk232764321"/>
      <w:r w:rsidRPr="00763354">
        <w:rPr>
          <w:rFonts w:ascii="Calibri" w:eastAsia="Calibri" w:hAnsi="Calibri" w:cs="Calibri"/>
          <w:sz w:val="24"/>
          <w:szCs w:val="24"/>
        </w:rPr>
        <w:t xml:space="preserve"> There are no equity gaps</w:t>
      </w:r>
      <w:bookmarkEnd w:id="10"/>
      <w:r w:rsidR="001360FF">
        <w:rPr>
          <w:rFonts w:ascii="Calibri" w:eastAsia="Calibri" w:hAnsi="Calibri" w:cs="Calibri"/>
          <w:sz w:val="24"/>
          <w:szCs w:val="24"/>
        </w:rPr>
        <w:t xml:space="preserve"> in Ethnic Studies course success rates</w:t>
      </w:r>
      <w:r w:rsidRPr="00763354">
        <w:rPr>
          <w:rFonts w:ascii="Calibri" w:eastAsia="Calibri" w:hAnsi="Calibri" w:cs="Calibri"/>
          <w:sz w:val="24"/>
          <w:szCs w:val="24"/>
        </w:rPr>
        <w:t>.</w:t>
      </w:r>
      <w:r w:rsidR="001360FF">
        <w:rPr>
          <w:rFonts w:ascii="Calibri" w:eastAsia="Calibri" w:hAnsi="Calibri" w:cs="Calibri"/>
          <w:sz w:val="24"/>
          <w:szCs w:val="24"/>
        </w:rPr>
        <w:t xml:space="preserve"> Congratulations!</w:t>
      </w:r>
    </w:p>
    <w:p w14:paraId="2EECF3C6" w14:textId="77777777" w:rsidR="00763354" w:rsidRPr="00763354" w:rsidRDefault="00763354" w:rsidP="00670051">
      <w:pPr>
        <w:rPr>
          <w:rFonts w:ascii="Calibri" w:eastAsia="Calibri" w:hAnsi="Calibri" w:cs="Calibri"/>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5B067F11" w14:textId="77777777" w:rsidR="001360FF" w:rsidRDefault="001360FF">
      <w:pPr>
        <w:rPr>
          <w:rFonts w:ascii="Calibri" w:eastAsia="Calibri" w:hAnsi="Calibri" w:cs="Calibri"/>
          <w:sz w:val="24"/>
          <w:szCs w:val="24"/>
        </w:rPr>
      </w:pPr>
      <w:bookmarkStart w:id="11" w:name="_Hlk232769441"/>
    </w:p>
    <w:p w14:paraId="38067695" w14:textId="62CAAA0C" w:rsidR="006E376F" w:rsidRDefault="00AE5843">
      <w:pPr>
        <w:rPr>
          <w:rFonts w:ascii="Calibri" w:eastAsia="Calibri" w:hAnsi="Calibri" w:cs="Calibri"/>
          <w:sz w:val="24"/>
          <w:szCs w:val="24"/>
        </w:rPr>
      </w:pPr>
      <w:r w:rsidRPr="00AE5843">
        <w:rPr>
          <w:rFonts w:ascii="Calibri" w:eastAsia="Calibri" w:hAnsi="Calibri" w:cs="Calibri"/>
          <w:sz w:val="24"/>
          <w:szCs w:val="24"/>
        </w:rPr>
        <w:t>There are no equity gaps</w:t>
      </w:r>
      <w:r w:rsidR="001360FF">
        <w:rPr>
          <w:rFonts w:ascii="Calibri" w:eastAsia="Calibri" w:hAnsi="Calibri" w:cs="Calibri"/>
          <w:sz w:val="24"/>
          <w:szCs w:val="24"/>
        </w:rPr>
        <w:t xml:space="preserve"> in Ethnic Studies course withdraw/retention rates</w:t>
      </w:r>
      <w:r>
        <w:rPr>
          <w:rFonts w:ascii="Calibri" w:eastAsia="Calibri" w:hAnsi="Calibri" w:cs="Calibri"/>
          <w:sz w:val="24"/>
          <w:szCs w:val="24"/>
        </w:rPr>
        <w:t>.</w:t>
      </w:r>
    </w:p>
    <w:bookmarkEnd w:id="11"/>
    <w:p w14:paraId="564D9AC5" w14:textId="77777777" w:rsidR="00AE5843" w:rsidRDefault="00AE5843">
      <w:pPr>
        <w:rPr>
          <w:rFonts w:ascii="Calibri" w:eastAsia="Calibri" w:hAnsi="Calibri" w:cs="Calibri"/>
          <w:sz w:val="24"/>
          <w:szCs w:val="24"/>
        </w:rPr>
      </w:pPr>
    </w:p>
    <w:p w14:paraId="6627E221" w14:textId="77777777" w:rsidR="001360FF" w:rsidRDefault="001360FF">
      <w:pPr>
        <w:rPr>
          <w:rFonts w:ascii="Calibri" w:eastAsia="Calibri" w:hAnsi="Calibri" w:cs="Calibri"/>
          <w:sz w:val="24"/>
          <w:szCs w:val="24"/>
        </w:rPr>
      </w:pPr>
      <w:r>
        <w:rPr>
          <w:rFonts w:ascii="Calibri" w:eastAsia="Calibri" w:hAnsi="Calibri" w:cs="Calibri"/>
          <w:sz w:val="24"/>
          <w:szCs w:val="24"/>
        </w:rPr>
        <w:br w:type="page"/>
      </w:r>
    </w:p>
    <w:p w14:paraId="00000050" w14:textId="251D0A7B" w:rsidR="0009573D" w:rsidRDefault="008A7CBB" w:rsidP="00275B98">
      <w:pPr>
        <w:rPr>
          <w:rFonts w:ascii="Calibri" w:eastAsia="Calibri" w:hAnsi="Calibri" w:cs="Calibri"/>
          <w:color w:val="000000"/>
          <w:u w:val="single"/>
        </w:rPr>
      </w:pPr>
      <w:r>
        <w:rPr>
          <w:rFonts w:ascii="Calibri" w:eastAsia="Calibri" w:hAnsi="Calibri" w:cs="Calibri"/>
          <w:sz w:val="24"/>
          <w:szCs w:val="24"/>
        </w:rPr>
        <w:lastRenderedPageBreak/>
        <w:t xml:space="preserve"> </w:t>
      </w:r>
      <w:bookmarkStart w:id="12" w:name="_7fev198ux36p" w:colFirst="0" w:colLast="0"/>
      <w:bookmarkEnd w:id="12"/>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3B8AD34B" w14:textId="57D8C7AD" w:rsidR="00F665FC" w:rsidRDefault="00F665FC" w:rsidP="00163B9F">
      <w:pPr>
        <w:rPr>
          <w:rFonts w:ascii="Calibri" w:eastAsia="Calibri" w:hAnsi="Calibri" w:cs="Calibri"/>
          <w:sz w:val="24"/>
          <w:szCs w:val="24"/>
        </w:rPr>
      </w:pPr>
    </w:p>
    <w:p w14:paraId="3271131D" w14:textId="53287245" w:rsidR="00F665FC" w:rsidRDefault="00F665FC" w:rsidP="00163B9F">
      <w:pPr>
        <w:rPr>
          <w:rFonts w:ascii="Calibri" w:eastAsia="Calibri" w:hAnsi="Calibri" w:cs="Calibri"/>
          <w:sz w:val="24"/>
          <w:szCs w:val="24"/>
        </w:rPr>
      </w:pPr>
      <w:r w:rsidRPr="00F665FC">
        <w:rPr>
          <w:rFonts w:ascii="Calibri" w:eastAsia="Calibri" w:hAnsi="Calibri" w:cs="Calibri"/>
          <w:noProof/>
          <w:sz w:val="24"/>
          <w:szCs w:val="24"/>
        </w:rPr>
        <w:drawing>
          <wp:inline distT="0" distB="0" distL="0" distR="0" wp14:anchorId="51B4A4CC" wp14:editId="1E224E28">
            <wp:extent cx="4626591" cy="5136702"/>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1285" cy="5141913"/>
                    </a:xfrm>
                    <a:prstGeom prst="rect">
                      <a:avLst/>
                    </a:prstGeom>
                  </pic:spPr>
                </pic:pic>
              </a:graphicData>
            </a:graphic>
          </wp:inline>
        </w:drawing>
      </w:r>
    </w:p>
    <w:p w14:paraId="15CBC942" w14:textId="733F3E93" w:rsidR="00163B9F" w:rsidRDefault="00F665FC" w:rsidP="001B1EF1">
      <w:pPr>
        <w:rPr>
          <w:rFonts w:ascii="Calibri" w:eastAsia="Calibri" w:hAnsi="Calibri" w:cs="Calibri"/>
          <w:sz w:val="24"/>
          <w:szCs w:val="24"/>
        </w:rPr>
      </w:pPr>
      <w:r w:rsidRPr="00F665FC">
        <w:rPr>
          <w:rFonts w:ascii="Calibri" w:eastAsia="Calibri" w:hAnsi="Calibri" w:cs="Calibri"/>
          <w:sz w:val="24"/>
          <w:szCs w:val="24"/>
        </w:rPr>
        <w:t>The overall trend is positive, as success rates across multiple course modalities stabilized and experienced steady upward gains during the final two academic years.</w:t>
      </w:r>
    </w:p>
    <w:p w14:paraId="6F46E94E" w14:textId="77777777" w:rsidR="00F665FC" w:rsidRDefault="00F665FC"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F665FC">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E35855" w:rsidRPr="003777D0" w14:paraId="3F0598F2" w14:textId="77777777" w:rsidTr="00F665FC">
        <w:tc>
          <w:tcPr>
            <w:tcW w:w="1559" w:type="dxa"/>
            <w:vAlign w:val="center"/>
          </w:tcPr>
          <w:p w14:paraId="54464E9D" w14:textId="26EB8D71" w:rsidR="00E35855" w:rsidRPr="003777D0" w:rsidRDefault="00E35855" w:rsidP="00DF0518">
            <w:pPr>
              <w:rPr>
                <w:sz w:val="24"/>
                <w:szCs w:val="24"/>
              </w:rPr>
            </w:pPr>
          </w:p>
        </w:tc>
        <w:tc>
          <w:tcPr>
            <w:tcW w:w="1157" w:type="dxa"/>
            <w:vAlign w:val="center"/>
          </w:tcPr>
          <w:p w14:paraId="2842D080" w14:textId="77777777" w:rsidR="00E35855" w:rsidRPr="003777D0" w:rsidRDefault="00E35855" w:rsidP="00DF0518">
            <w:pPr>
              <w:jc w:val="center"/>
              <w:rPr>
                <w:sz w:val="24"/>
                <w:szCs w:val="24"/>
              </w:rPr>
            </w:pPr>
          </w:p>
        </w:tc>
        <w:tc>
          <w:tcPr>
            <w:tcW w:w="1342" w:type="dxa"/>
            <w:vAlign w:val="center"/>
          </w:tcPr>
          <w:p w14:paraId="264594D2" w14:textId="2D4E10E9" w:rsidR="00E35855" w:rsidRPr="003777D0" w:rsidRDefault="00E35855" w:rsidP="00DF0518">
            <w:pPr>
              <w:jc w:val="center"/>
              <w:rPr>
                <w:sz w:val="24"/>
                <w:szCs w:val="24"/>
              </w:rPr>
            </w:pPr>
          </w:p>
        </w:tc>
        <w:tc>
          <w:tcPr>
            <w:tcW w:w="1317" w:type="dxa"/>
            <w:vAlign w:val="center"/>
          </w:tcPr>
          <w:p w14:paraId="566AF95B" w14:textId="77777777" w:rsidR="00E35855" w:rsidRPr="003777D0" w:rsidRDefault="00E35855" w:rsidP="00DF0518">
            <w:pPr>
              <w:jc w:val="center"/>
              <w:rPr>
                <w:sz w:val="24"/>
                <w:szCs w:val="24"/>
              </w:rPr>
            </w:pPr>
          </w:p>
        </w:tc>
        <w:tc>
          <w:tcPr>
            <w:tcW w:w="1317" w:type="dxa"/>
            <w:vAlign w:val="center"/>
          </w:tcPr>
          <w:p w14:paraId="60ECF352" w14:textId="77777777" w:rsidR="00E35855" w:rsidRPr="003777D0" w:rsidRDefault="00E35855" w:rsidP="00DF0518">
            <w:pPr>
              <w:jc w:val="center"/>
              <w:rPr>
                <w:sz w:val="24"/>
                <w:szCs w:val="24"/>
              </w:rPr>
            </w:pPr>
          </w:p>
        </w:tc>
        <w:tc>
          <w:tcPr>
            <w:tcW w:w="1584" w:type="dxa"/>
            <w:vAlign w:val="center"/>
          </w:tcPr>
          <w:p w14:paraId="7D3F73C4" w14:textId="77777777" w:rsidR="00E35855" w:rsidRPr="003777D0" w:rsidRDefault="00E35855" w:rsidP="00DF0518">
            <w:pPr>
              <w:jc w:val="center"/>
              <w:rPr>
                <w:sz w:val="24"/>
                <w:szCs w:val="24"/>
              </w:rPr>
            </w:pPr>
          </w:p>
        </w:tc>
        <w:tc>
          <w:tcPr>
            <w:tcW w:w="1074" w:type="dxa"/>
            <w:vAlign w:val="center"/>
          </w:tcPr>
          <w:p w14:paraId="06492463" w14:textId="113B5C3B" w:rsidR="00E35855" w:rsidRPr="003777D0" w:rsidRDefault="00E35855" w:rsidP="00DF0518">
            <w:pPr>
              <w:jc w:val="center"/>
              <w:rPr>
                <w:sz w:val="24"/>
                <w:szCs w:val="24"/>
              </w:rPr>
            </w:pPr>
          </w:p>
        </w:tc>
      </w:tr>
      <w:tr w:rsidR="00F665FC" w:rsidRPr="003777D0" w14:paraId="0198F323" w14:textId="77777777" w:rsidTr="00F665FC">
        <w:tc>
          <w:tcPr>
            <w:tcW w:w="1559" w:type="dxa"/>
            <w:vAlign w:val="center"/>
          </w:tcPr>
          <w:p w14:paraId="3F9447A8" w14:textId="77777777" w:rsidR="00F665FC" w:rsidRPr="003777D0" w:rsidRDefault="00F665FC" w:rsidP="00DF0518">
            <w:pPr>
              <w:rPr>
                <w:sz w:val="24"/>
                <w:szCs w:val="24"/>
              </w:rPr>
            </w:pPr>
          </w:p>
        </w:tc>
        <w:tc>
          <w:tcPr>
            <w:tcW w:w="1157" w:type="dxa"/>
            <w:vAlign w:val="center"/>
          </w:tcPr>
          <w:p w14:paraId="368DC043" w14:textId="77777777" w:rsidR="00F665FC" w:rsidRPr="003777D0" w:rsidRDefault="00F665FC" w:rsidP="00DF0518">
            <w:pPr>
              <w:jc w:val="center"/>
              <w:rPr>
                <w:sz w:val="24"/>
                <w:szCs w:val="24"/>
              </w:rPr>
            </w:pPr>
          </w:p>
        </w:tc>
        <w:tc>
          <w:tcPr>
            <w:tcW w:w="1342" w:type="dxa"/>
            <w:vAlign w:val="center"/>
          </w:tcPr>
          <w:p w14:paraId="7715A812" w14:textId="77777777" w:rsidR="00F665FC" w:rsidRPr="003777D0" w:rsidRDefault="00F665FC" w:rsidP="00DF0518">
            <w:pPr>
              <w:jc w:val="center"/>
              <w:rPr>
                <w:sz w:val="24"/>
                <w:szCs w:val="24"/>
              </w:rPr>
            </w:pPr>
          </w:p>
        </w:tc>
        <w:tc>
          <w:tcPr>
            <w:tcW w:w="1317" w:type="dxa"/>
            <w:vAlign w:val="center"/>
          </w:tcPr>
          <w:p w14:paraId="14DDC3A9" w14:textId="77777777" w:rsidR="00F665FC" w:rsidRPr="003777D0" w:rsidRDefault="00F665FC" w:rsidP="00DF0518">
            <w:pPr>
              <w:jc w:val="center"/>
              <w:rPr>
                <w:sz w:val="24"/>
                <w:szCs w:val="24"/>
              </w:rPr>
            </w:pPr>
          </w:p>
        </w:tc>
        <w:tc>
          <w:tcPr>
            <w:tcW w:w="1317" w:type="dxa"/>
            <w:vAlign w:val="center"/>
          </w:tcPr>
          <w:p w14:paraId="1AA7ED75" w14:textId="77777777" w:rsidR="00F665FC" w:rsidRPr="003777D0" w:rsidRDefault="00F665FC" w:rsidP="00DF0518">
            <w:pPr>
              <w:jc w:val="center"/>
              <w:rPr>
                <w:sz w:val="24"/>
                <w:szCs w:val="24"/>
              </w:rPr>
            </w:pPr>
          </w:p>
        </w:tc>
        <w:tc>
          <w:tcPr>
            <w:tcW w:w="1584" w:type="dxa"/>
            <w:vAlign w:val="center"/>
          </w:tcPr>
          <w:p w14:paraId="374D6AC9" w14:textId="77777777" w:rsidR="00F665FC" w:rsidRPr="003777D0" w:rsidRDefault="00F665FC" w:rsidP="00DF0518">
            <w:pPr>
              <w:jc w:val="center"/>
              <w:rPr>
                <w:sz w:val="24"/>
                <w:szCs w:val="24"/>
              </w:rPr>
            </w:pPr>
          </w:p>
        </w:tc>
        <w:tc>
          <w:tcPr>
            <w:tcW w:w="1074" w:type="dxa"/>
            <w:vAlign w:val="center"/>
          </w:tcPr>
          <w:p w14:paraId="30066D39" w14:textId="77777777" w:rsidR="00F665FC" w:rsidRPr="003777D0" w:rsidRDefault="00F665FC" w:rsidP="00DF0518">
            <w:pPr>
              <w:jc w:val="center"/>
              <w:rPr>
                <w:sz w:val="24"/>
                <w:szCs w:val="24"/>
              </w:rPr>
            </w:pPr>
          </w:p>
        </w:tc>
      </w:tr>
    </w:tbl>
    <w:p w14:paraId="636E6066" w14:textId="77777777" w:rsidR="00E35855" w:rsidRDefault="00E35855" w:rsidP="00E35855">
      <w:pPr>
        <w:rPr>
          <w:sz w:val="24"/>
          <w:szCs w:val="24"/>
        </w:rPr>
      </w:pPr>
    </w:p>
    <w:p w14:paraId="678C4796" w14:textId="5B5DDBF9" w:rsidR="00235CFF" w:rsidRPr="00235CFF" w:rsidRDefault="00235CFF" w:rsidP="00235CFF">
      <w:pPr>
        <w:rPr>
          <w:rFonts w:ascii="Calibri" w:eastAsia="Calibri" w:hAnsi="Calibri" w:cs="Calibri"/>
          <w:sz w:val="24"/>
          <w:szCs w:val="24"/>
        </w:rPr>
      </w:pPr>
      <w:r w:rsidRPr="00235CFF">
        <w:rPr>
          <w:rFonts w:ascii="Calibri" w:eastAsia="Calibri" w:hAnsi="Calibri" w:cs="Calibri"/>
          <w:sz w:val="24"/>
          <w:szCs w:val="24"/>
        </w:rPr>
        <w:t>There are no equity gaps</w:t>
      </w:r>
      <w:r w:rsidR="00736B5C">
        <w:rPr>
          <w:rFonts w:ascii="Calibri" w:eastAsia="Calibri" w:hAnsi="Calibri" w:cs="Calibri"/>
          <w:sz w:val="24"/>
          <w:szCs w:val="24"/>
        </w:rPr>
        <w:t xml:space="preserve"> in Ethnic Studies course success rates by modality</w:t>
      </w:r>
      <w:r w:rsidRPr="00235CFF">
        <w:rPr>
          <w:rFonts w:ascii="Calibri" w:eastAsia="Calibri" w:hAnsi="Calibri" w:cs="Calibri"/>
          <w:sz w:val="24"/>
          <w:szCs w:val="24"/>
        </w:rPr>
        <w:t>.</w:t>
      </w:r>
    </w:p>
    <w:p w14:paraId="4C2DB170" w14:textId="77777777" w:rsidR="00CA37AE" w:rsidRDefault="00CA37AE" w:rsidP="001B1EF1">
      <w:pPr>
        <w:rPr>
          <w:rFonts w:ascii="Calibri" w:eastAsia="Calibri" w:hAnsi="Calibri" w:cs="Calibri"/>
          <w:sz w:val="24"/>
          <w:szCs w:val="24"/>
        </w:rPr>
      </w:pPr>
    </w:p>
    <w:p w14:paraId="0000007D" w14:textId="77777777" w:rsidR="0009573D" w:rsidRDefault="008A7CBB">
      <w:pPr>
        <w:rPr>
          <w:rFonts w:ascii="Calibri" w:eastAsia="Calibri" w:hAnsi="Calibri" w:cs="Calibri"/>
          <w:sz w:val="24"/>
          <w:szCs w:val="24"/>
        </w:rPr>
      </w:pPr>
      <w:bookmarkStart w:id="13" w:name="_xjixceugtdxs" w:colFirst="0" w:colLast="0"/>
      <w:bookmarkEnd w:id="13"/>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4" w:name="_x61wl580t1lz" w:colFirst="0" w:colLast="0"/>
      <w:bookmarkEnd w:id="14"/>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26E3" w14:textId="77777777" w:rsidR="00831C00" w:rsidRDefault="00831C00">
      <w:pPr>
        <w:spacing w:line="240" w:lineRule="auto"/>
      </w:pPr>
      <w:r>
        <w:separator/>
      </w:r>
    </w:p>
  </w:endnote>
  <w:endnote w:type="continuationSeparator" w:id="0">
    <w:p w14:paraId="23AB4EE1" w14:textId="77777777" w:rsidR="00831C00" w:rsidRDefault="00831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7A7C00A-65A3-40C6-B9A3-1968FD31C217}"/>
    <w:embedBold r:id="rId2" w:fontKey="{2C34FB4E-0538-4B7E-B30F-651458FDC4F1}"/>
    <w:embedItalic r:id="rId3" w:fontKey="{9F38937C-3A94-431F-9ED5-C4646D3A28B0}"/>
    <w:embedBoldItalic r:id="rId4" w:fontKey="{AA90A1EC-12D8-4D9C-850F-8103B058C04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695E6777-5285-41FB-9C2E-FED745799037}"/>
  </w:font>
  <w:font w:name="Roboto">
    <w:charset w:val="00"/>
    <w:family w:val="auto"/>
    <w:pitch w:val="variable"/>
    <w:sig w:usb0="E00002FF" w:usb1="5000205B" w:usb2="00000020" w:usb3="00000000" w:csb0="0000019F" w:csb1="00000000"/>
    <w:embedRegular r:id="rId6" w:fontKey="{CAF9D18F-C82D-42B9-8A67-A7B3743D7B75}"/>
  </w:font>
  <w:font w:name="Cambria">
    <w:panose1 w:val="02040503050406030204"/>
    <w:charset w:val="00"/>
    <w:family w:val="roman"/>
    <w:pitch w:val="variable"/>
    <w:sig w:usb0="E00006FF" w:usb1="420024FF" w:usb2="02000000" w:usb3="00000000" w:csb0="0000019F" w:csb1="00000000"/>
    <w:embedRegular r:id="rId7" w:fontKey="{69DD5A36-C269-4334-98F2-2D13F76CEC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08613" w14:textId="77777777" w:rsidR="00831C00" w:rsidRDefault="00831C00">
      <w:pPr>
        <w:spacing w:line="240" w:lineRule="auto"/>
      </w:pPr>
      <w:r>
        <w:separator/>
      </w:r>
    </w:p>
  </w:footnote>
  <w:footnote w:type="continuationSeparator" w:id="0">
    <w:p w14:paraId="6106DD0B" w14:textId="77777777" w:rsidR="00831C00" w:rsidRDefault="00831C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07853"/>
    <w:rsid w:val="00053C17"/>
    <w:rsid w:val="000740C9"/>
    <w:rsid w:val="0009573D"/>
    <w:rsid w:val="000978C9"/>
    <w:rsid w:val="00097A6A"/>
    <w:rsid w:val="000C3CE7"/>
    <w:rsid w:val="000D23B6"/>
    <w:rsid w:val="000D3E58"/>
    <w:rsid w:val="000D5AD0"/>
    <w:rsid w:val="0011212F"/>
    <w:rsid w:val="00130ED5"/>
    <w:rsid w:val="001360FF"/>
    <w:rsid w:val="00136E5D"/>
    <w:rsid w:val="00163B9F"/>
    <w:rsid w:val="001812B5"/>
    <w:rsid w:val="001A6C6B"/>
    <w:rsid w:val="001B1EF1"/>
    <w:rsid w:val="001B59EC"/>
    <w:rsid w:val="001B7446"/>
    <w:rsid w:val="001F0FA0"/>
    <w:rsid w:val="00235CFF"/>
    <w:rsid w:val="00244974"/>
    <w:rsid w:val="00275B98"/>
    <w:rsid w:val="002A684B"/>
    <w:rsid w:val="002A74F6"/>
    <w:rsid w:val="002A7BD0"/>
    <w:rsid w:val="00356980"/>
    <w:rsid w:val="003C573D"/>
    <w:rsid w:val="003D1660"/>
    <w:rsid w:val="00444F46"/>
    <w:rsid w:val="00457D52"/>
    <w:rsid w:val="004854FA"/>
    <w:rsid w:val="00576408"/>
    <w:rsid w:val="005B5B82"/>
    <w:rsid w:val="005B6357"/>
    <w:rsid w:val="005C3B06"/>
    <w:rsid w:val="005D3549"/>
    <w:rsid w:val="005E0B58"/>
    <w:rsid w:val="00604FA9"/>
    <w:rsid w:val="00670051"/>
    <w:rsid w:val="006A04C9"/>
    <w:rsid w:val="006A7044"/>
    <w:rsid w:val="006E376F"/>
    <w:rsid w:val="006E42B9"/>
    <w:rsid w:val="007141F2"/>
    <w:rsid w:val="00736B5C"/>
    <w:rsid w:val="007622A3"/>
    <w:rsid w:val="00763354"/>
    <w:rsid w:val="007B7ABF"/>
    <w:rsid w:val="007D1773"/>
    <w:rsid w:val="007F5618"/>
    <w:rsid w:val="008017B5"/>
    <w:rsid w:val="00831C00"/>
    <w:rsid w:val="00834D24"/>
    <w:rsid w:val="008357AF"/>
    <w:rsid w:val="008417BF"/>
    <w:rsid w:val="00854133"/>
    <w:rsid w:val="0086324D"/>
    <w:rsid w:val="008900A4"/>
    <w:rsid w:val="008A6473"/>
    <w:rsid w:val="008A7CBB"/>
    <w:rsid w:val="008B3C69"/>
    <w:rsid w:val="008C7825"/>
    <w:rsid w:val="009111E1"/>
    <w:rsid w:val="0095579D"/>
    <w:rsid w:val="00960785"/>
    <w:rsid w:val="0099310A"/>
    <w:rsid w:val="009E3890"/>
    <w:rsid w:val="009F22FE"/>
    <w:rsid w:val="009F44D3"/>
    <w:rsid w:val="00A046B0"/>
    <w:rsid w:val="00A10C66"/>
    <w:rsid w:val="00A51ECC"/>
    <w:rsid w:val="00A576AA"/>
    <w:rsid w:val="00AE5843"/>
    <w:rsid w:val="00B164F3"/>
    <w:rsid w:val="00B26CF9"/>
    <w:rsid w:val="00BA47C7"/>
    <w:rsid w:val="00BF5200"/>
    <w:rsid w:val="00C001FC"/>
    <w:rsid w:val="00C25185"/>
    <w:rsid w:val="00C806E0"/>
    <w:rsid w:val="00C85FD8"/>
    <w:rsid w:val="00C87219"/>
    <w:rsid w:val="00C960DA"/>
    <w:rsid w:val="00CA37AE"/>
    <w:rsid w:val="00D12184"/>
    <w:rsid w:val="00D77889"/>
    <w:rsid w:val="00D93B74"/>
    <w:rsid w:val="00DA0629"/>
    <w:rsid w:val="00DE11D0"/>
    <w:rsid w:val="00E34F5A"/>
    <w:rsid w:val="00E35855"/>
    <w:rsid w:val="00E535BF"/>
    <w:rsid w:val="00E723DF"/>
    <w:rsid w:val="00F40FCC"/>
    <w:rsid w:val="00F665FC"/>
    <w:rsid w:val="00F70C9E"/>
    <w:rsid w:val="00F96F20"/>
    <w:rsid w:val="00F975DE"/>
    <w:rsid w:val="00FC7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CFF"/>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41124">
      <w:bodyDiv w:val="1"/>
      <w:marLeft w:val="0"/>
      <w:marRight w:val="0"/>
      <w:marTop w:val="0"/>
      <w:marBottom w:val="0"/>
      <w:divBdr>
        <w:top w:val="none" w:sz="0" w:space="0" w:color="auto"/>
        <w:left w:val="none" w:sz="0" w:space="0" w:color="auto"/>
        <w:bottom w:val="none" w:sz="0" w:space="0" w:color="auto"/>
        <w:right w:val="none" w:sz="0" w:space="0" w:color="auto"/>
      </w:divBdr>
      <w:divsChild>
        <w:div w:id="260837024">
          <w:marLeft w:val="0"/>
          <w:marRight w:val="0"/>
          <w:marTop w:val="0"/>
          <w:marBottom w:val="0"/>
          <w:divBdr>
            <w:top w:val="none" w:sz="0" w:space="0" w:color="auto"/>
            <w:left w:val="none" w:sz="0" w:space="0" w:color="auto"/>
            <w:bottom w:val="none" w:sz="0" w:space="0" w:color="auto"/>
            <w:right w:val="none" w:sz="0" w:space="0" w:color="auto"/>
          </w:divBdr>
          <w:divsChild>
            <w:div w:id="20457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169977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Engel, Karen</dc:creator>
  <cp:lastModifiedBy>Engel, Karen</cp:lastModifiedBy>
  <cp:revision>3</cp:revision>
  <dcterms:created xsi:type="dcterms:W3CDTF">2026-07-14T18:58:00Z</dcterms:created>
  <dcterms:modified xsi:type="dcterms:W3CDTF">2026-07-14T18:59:00Z</dcterms:modified>
</cp:coreProperties>
</file>