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95C4F41" wp14:paraId="2C078E63" wp14:textId="48112FB8">
      <w:pPr>
        <w:pStyle w:val="Title"/>
        <w:jc w:val="center"/>
        <w:rPr>
          <w:rFonts w:ascii="Arial" w:hAnsi="Arial" w:eastAsia="Arial" w:cs="Arial"/>
          <w:sz w:val="36"/>
          <w:szCs w:val="36"/>
        </w:rPr>
      </w:pPr>
      <w:r w:rsidRPr="495C4F41" w:rsidR="089BF281">
        <w:rPr>
          <w:rFonts w:ascii="Arial" w:hAnsi="Arial" w:eastAsia="Arial" w:cs="Arial"/>
          <w:sz w:val="36"/>
          <w:szCs w:val="36"/>
        </w:rPr>
        <w:t>OER/ZTC Report for IPC</w:t>
      </w:r>
      <w:r>
        <w:br/>
      </w:r>
      <w:r w:rsidRPr="495C4F41" w:rsidR="5E356E26">
        <w:rPr>
          <w:rFonts w:ascii="Arial" w:hAnsi="Arial" w:eastAsia="Arial" w:cs="Arial"/>
          <w:sz w:val="36"/>
          <w:szCs w:val="36"/>
        </w:rPr>
        <w:t>18 October 2024</w:t>
      </w:r>
    </w:p>
    <w:p w:rsidR="5E356E26" w:rsidP="495C4F41" w:rsidRDefault="5E356E26" w14:paraId="184298B7" w14:textId="05BCDA91">
      <w:pPr>
        <w:pStyle w:val="Heading1"/>
        <w:rPr>
          <w:rFonts w:ascii="Arial" w:hAnsi="Arial" w:eastAsia="Arial" w:cs="Arial"/>
          <w:color w:val="auto"/>
          <w:sz w:val="32"/>
          <w:szCs w:val="32"/>
        </w:rPr>
      </w:pPr>
      <w:r w:rsidR="5E356E26">
        <w:rPr/>
        <w:t>Current State of ZTC at Cañada</w:t>
      </w:r>
    </w:p>
    <w:p w:rsidR="34E343D5" w:rsidP="495C4F41" w:rsidRDefault="34E343D5" w14:paraId="1234E2C9" w14:textId="75005979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="34E343D5">
        <w:rPr/>
        <w:t>Fall 2024 Statistics (so far)</w:t>
      </w:r>
    </w:p>
    <w:p w:rsidR="34E343D5" w:rsidP="495C4F41" w:rsidRDefault="34E343D5" w14:paraId="2856BD18" w14:textId="4E31B432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495C4F41" w:rsidR="34E343D5">
        <w:rPr>
          <w:rFonts w:ascii="Arial" w:hAnsi="Arial" w:eastAsia="Arial" w:cs="Arial"/>
        </w:rPr>
        <w:t>ZTC: 164 sections of 96 courses</w:t>
      </w:r>
    </w:p>
    <w:p w:rsidR="34E343D5" w:rsidP="495C4F41" w:rsidRDefault="34E343D5" w14:paraId="4C2D4951" w14:textId="0C47E483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495C4F41" w:rsidR="34E343D5">
        <w:rPr>
          <w:rFonts w:ascii="Arial" w:hAnsi="Arial" w:eastAsia="Arial" w:cs="Arial"/>
        </w:rPr>
        <w:t>LTC: 23 sections of 13 courses</w:t>
      </w:r>
    </w:p>
    <w:p w:rsidR="34E343D5" w:rsidP="495C4F41" w:rsidRDefault="34E343D5" w14:paraId="2F412F11" w14:textId="6117690A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495C4F41" w:rsidR="34E343D5">
        <w:rPr>
          <w:rFonts w:ascii="Arial" w:hAnsi="Arial" w:eastAsia="Arial" w:cs="Arial"/>
        </w:rPr>
        <w:t>Enrolled (duplicated) students: 5,211</w:t>
      </w:r>
    </w:p>
    <w:p w:rsidR="34E343D5" w:rsidP="495C4F41" w:rsidRDefault="34E343D5" w14:paraId="07D213BA" w14:textId="3FF20194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495C4F41" w:rsidR="34E343D5">
        <w:rPr>
          <w:rFonts w:ascii="Arial" w:hAnsi="Arial" w:eastAsia="Arial" w:cs="Arial"/>
        </w:rPr>
        <w:t>Estimated savings: $496,150</w:t>
      </w:r>
    </w:p>
    <w:p w:rsidR="34E343D5" w:rsidP="495C4F41" w:rsidRDefault="34E343D5" w14:paraId="717F0AE3" w14:textId="571EFE11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495C4F41" w:rsidR="34E343D5">
        <w:rPr>
          <w:rFonts w:ascii="Arial" w:hAnsi="Arial" w:eastAsia="Arial" w:cs="Arial"/>
        </w:rPr>
        <w:t>Unique faculty: 83</w:t>
      </w:r>
    </w:p>
    <w:p w:rsidR="34E343D5" w:rsidP="495C4F41" w:rsidRDefault="34E343D5" w14:paraId="16AC49F7" w14:textId="4415C990">
      <w:pPr>
        <w:pStyle w:val="ListParagraph"/>
        <w:numPr>
          <w:ilvl w:val="0"/>
          <w:numId w:val="2"/>
        </w:numPr>
        <w:rPr>
          <w:rFonts w:ascii="Arial" w:hAnsi="Arial" w:eastAsia="Arial" w:cs="Arial"/>
        </w:rPr>
      </w:pPr>
      <w:r w:rsidRPr="495C4F41" w:rsidR="34E343D5">
        <w:rPr>
          <w:rFonts w:ascii="Arial" w:hAnsi="Arial" w:eastAsia="Arial" w:cs="Arial"/>
        </w:rPr>
        <w:t>Overall state of ZTC since Spring 2021</w:t>
      </w:r>
    </w:p>
    <w:p w:rsidR="34E343D5" w:rsidP="495C4F41" w:rsidRDefault="34E343D5" w14:paraId="45BA973D" w14:textId="7A4434A4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495C4F41" w:rsidR="34E343D5">
        <w:rPr>
          <w:rFonts w:ascii="Arial" w:hAnsi="Arial" w:eastAsia="Arial" w:cs="Arial"/>
        </w:rPr>
        <w:t>Enrolled (duplicated) students: 26,383</w:t>
      </w:r>
    </w:p>
    <w:p w:rsidR="34E343D5" w:rsidP="495C4F41" w:rsidRDefault="34E343D5" w14:paraId="3422FA31" w14:textId="5A1DD676">
      <w:pPr>
        <w:pStyle w:val="ListParagraph"/>
        <w:numPr>
          <w:ilvl w:val="1"/>
          <w:numId w:val="2"/>
        </w:numPr>
        <w:rPr>
          <w:rFonts w:ascii="Arial" w:hAnsi="Arial" w:eastAsia="Arial" w:cs="Arial"/>
        </w:rPr>
      </w:pPr>
      <w:r w:rsidRPr="495C4F41" w:rsidR="34E343D5">
        <w:rPr>
          <w:rFonts w:ascii="Arial" w:hAnsi="Arial" w:eastAsia="Arial" w:cs="Arial"/>
        </w:rPr>
        <w:t>Estimated savings: $</w:t>
      </w:r>
      <w:r w:rsidRPr="495C4F41" w:rsidR="72896420">
        <w:rPr>
          <w:rFonts w:ascii="Arial" w:hAnsi="Arial" w:eastAsia="Arial" w:cs="Arial"/>
        </w:rPr>
        <w:t>2,485,900</w:t>
      </w:r>
    </w:p>
    <w:p w:rsidR="34E343D5" w:rsidP="495C4F41" w:rsidRDefault="34E343D5" w14:paraId="0F743BBF" w14:textId="1056E5DD">
      <w:pPr>
        <w:pStyle w:val="Heading1"/>
      </w:pPr>
      <w:r w:rsidR="34E343D5">
        <w:rPr/>
        <w:t>ZTC Pathways</w:t>
      </w:r>
    </w:p>
    <w:p w:rsidR="45ABF28A" w:rsidP="495C4F41" w:rsidRDefault="45ABF28A" w14:paraId="70D3C15A" w14:textId="5CA33113">
      <w:pPr>
        <w:pStyle w:val="ListParagraph"/>
        <w:numPr>
          <w:ilvl w:val="0"/>
          <w:numId w:val="3"/>
        </w:numPr>
        <w:rPr/>
      </w:pPr>
      <w:r w:rsidR="45ABF28A">
        <w:rPr/>
        <w:t>CalGETC</w:t>
      </w:r>
      <w:r w:rsidR="45ABF28A">
        <w:rPr/>
        <w:t xml:space="preserve"> pathway is secured and growing</w:t>
      </w:r>
    </w:p>
    <w:p w:rsidR="45ABF28A" w:rsidP="495C4F41" w:rsidRDefault="45ABF28A" w14:paraId="74D28259" w14:textId="085EAF52">
      <w:pPr>
        <w:pStyle w:val="ListParagraph"/>
        <w:numPr>
          <w:ilvl w:val="0"/>
          <w:numId w:val="3"/>
        </w:numPr>
        <w:rPr/>
      </w:pPr>
      <w:r w:rsidR="45ABF28A">
        <w:rPr/>
        <w:t>Complete pathways (core, selectives):</w:t>
      </w:r>
    </w:p>
    <w:p w:rsidR="45ABF28A" w:rsidP="495C4F41" w:rsidRDefault="45ABF28A" w14:paraId="0EC51903" w14:textId="18546978">
      <w:pPr>
        <w:pStyle w:val="ListParagraph"/>
        <w:numPr>
          <w:ilvl w:val="1"/>
          <w:numId w:val="3"/>
        </w:numPr>
        <w:rPr/>
      </w:pPr>
      <w:r w:rsidR="45ABF28A">
        <w:rPr/>
        <w:t>Business Administration 2.0 AS-T</w:t>
      </w:r>
    </w:p>
    <w:p w:rsidR="45ABF28A" w:rsidP="495C4F41" w:rsidRDefault="45ABF28A" w14:paraId="15F8408B" w14:textId="3A766191">
      <w:pPr>
        <w:pStyle w:val="ListParagraph"/>
        <w:numPr>
          <w:ilvl w:val="1"/>
          <w:numId w:val="3"/>
        </w:numPr>
        <w:rPr/>
      </w:pPr>
      <w:r w:rsidR="45ABF28A">
        <w:rPr/>
        <w:t>Communication Studies AA, AA-T</w:t>
      </w:r>
    </w:p>
    <w:p w:rsidR="45ABF28A" w:rsidP="495C4F41" w:rsidRDefault="45ABF28A" w14:paraId="78E05DD3" w14:textId="33A00F35">
      <w:pPr>
        <w:pStyle w:val="ListParagraph"/>
        <w:numPr>
          <w:ilvl w:val="1"/>
          <w:numId w:val="3"/>
        </w:numPr>
        <w:rPr/>
      </w:pPr>
      <w:r w:rsidR="45ABF28A">
        <w:rPr/>
        <w:t>ECE Child and Adolescent Development AA-T</w:t>
      </w:r>
    </w:p>
    <w:p w:rsidR="45ABF28A" w:rsidP="495C4F41" w:rsidRDefault="45ABF28A" w14:paraId="1A2D9E02" w14:textId="60F6EB44">
      <w:pPr>
        <w:pStyle w:val="ListParagraph"/>
        <w:numPr>
          <w:ilvl w:val="1"/>
          <w:numId w:val="3"/>
        </w:numPr>
        <w:rPr/>
      </w:pPr>
      <w:r w:rsidR="45ABF28A">
        <w:rPr/>
        <w:t>ECE Early Childhood Education AS-T, Certificate of Achievement</w:t>
      </w:r>
    </w:p>
    <w:p w:rsidR="45ABF28A" w:rsidP="495C4F41" w:rsidRDefault="45ABF28A" w14:paraId="4A694429" w14:textId="64CF6451">
      <w:pPr>
        <w:pStyle w:val="ListParagraph"/>
        <w:numPr>
          <w:ilvl w:val="1"/>
          <w:numId w:val="3"/>
        </w:numPr>
        <w:rPr/>
      </w:pPr>
      <w:r w:rsidR="45ABF28A">
        <w:rPr/>
        <w:t xml:space="preserve">ECE Inclusion Support </w:t>
      </w:r>
      <w:r w:rsidR="45ABF28A">
        <w:rPr/>
        <w:t>Certificate</w:t>
      </w:r>
      <w:r w:rsidR="45ABF28A">
        <w:rPr/>
        <w:t xml:space="preserve"> of Achievement</w:t>
      </w:r>
    </w:p>
    <w:p w:rsidR="45ABF28A" w:rsidP="495C4F41" w:rsidRDefault="45ABF28A" w14:paraId="6961AD6E" w14:textId="47F7F435">
      <w:pPr>
        <w:pStyle w:val="ListParagraph"/>
        <w:numPr>
          <w:ilvl w:val="1"/>
          <w:numId w:val="3"/>
        </w:numPr>
        <w:rPr/>
      </w:pPr>
      <w:r w:rsidR="45ABF28A">
        <w:rPr/>
        <w:t>Mathematics AS-T</w:t>
      </w:r>
    </w:p>
    <w:p w:rsidR="45ABF28A" w:rsidP="495C4F41" w:rsidRDefault="45ABF28A" w14:paraId="24F9008B" w14:textId="61B0C17C">
      <w:pPr>
        <w:pStyle w:val="ListParagraph"/>
        <w:numPr>
          <w:ilvl w:val="1"/>
          <w:numId w:val="3"/>
        </w:numPr>
        <w:rPr/>
      </w:pPr>
      <w:r w:rsidR="45ABF28A">
        <w:rPr/>
        <w:t>Physics AS-T</w:t>
      </w:r>
    </w:p>
    <w:p w:rsidR="45ABF28A" w:rsidP="495C4F41" w:rsidRDefault="45ABF28A" w14:paraId="2964C9B3" w14:textId="458FF8BB">
      <w:pPr>
        <w:pStyle w:val="ListParagraph"/>
        <w:numPr>
          <w:ilvl w:val="0"/>
          <w:numId w:val="3"/>
        </w:numPr>
        <w:rPr/>
      </w:pPr>
      <w:r w:rsidR="45ABF28A">
        <w:rPr/>
        <w:t>Other potential pathways:</w:t>
      </w:r>
    </w:p>
    <w:p w:rsidR="45ABF28A" w:rsidP="495C4F41" w:rsidRDefault="45ABF28A" w14:paraId="5DF4A7B9" w14:textId="4B1233B7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 xml:space="preserve">Biology AS-T </w:t>
      </w:r>
    </w:p>
    <w:p w:rsidR="45ABF28A" w:rsidP="495C4F41" w:rsidRDefault="45ABF28A" w14:paraId="411A892B" w14:textId="06A2DD80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BIOL 225 (CORE); BIOL 230 (CORE</w:t>
      </w:r>
    </w:p>
    <w:p w:rsidR="45ABF28A" w:rsidP="495C4F41" w:rsidRDefault="45ABF28A" w14:paraId="1A1E5D7A" w14:textId="0141EDFA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 xml:space="preserve">Nutrition and Dietetics AS-T </w:t>
      </w:r>
    </w:p>
    <w:p w:rsidR="45ABF28A" w:rsidP="495C4F41" w:rsidRDefault="45ABF28A" w14:paraId="31FC996C" w14:textId="7F5C1E47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BIOL 240 (CORE); BIOL 310 (CORE)</w:t>
      </w:r>
    </w:p>
    <w:p w:rsidR="45ABF28A" w:rsidP="495C4F41" w:rsidRDefault="45ABF28A" w14:paraId="6E0892EE" w14:textId="7FCD742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495C4F41" w:rsidR="45ABF28A">
        <w:rPr>
          <w:sz w:val="24"/>
          <w:szCs w:val="24"/>
        </w:rPr>
        <w:t xml:space="preserve">Chemistry AS </w:t>
      </w:r>
    </w:p>
    <w:p w:rsidR="45ABF28A" w:rsidP="495C4F41" w:rsidRDefault="45ABF28A" w14:paraId="2A7C8295" w14:textId="4766A234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495C4F41" w:rsidR="45ABF28A">
        <w:rPr>
          <w:sz w:val="24"/>
          <w:szCs w:val="24"/>
        </w:rPr>
        <w:t>CHEM 232—on-going</w:t>
      </w:r>
    </w:p>
    <w:p w:rsidR="45ABF28A" w:rsidP="495C4F41" w:rsidRDefault="45ABF28A" w14:paraId="23454A50" w14:textId="43A0B7C3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 xml:space="preserve">Earth Science AS </w:t>
      </w:r>
    </w:p>
    <w:p w:rsidR="45ABF28A" w:rsidP="495C4F41" w:rsidRDefault="45ABF28A" w14:paraId="11604EDA" w14:textId="0E198589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BIOL 101; GEOG 110</w:t>
      </w:r>
    </w:p>
    <w:p w:rsidR="45ABF28A" w:rsidP="495C4F41" w:rsidRDefault="45ABF28A" w14:paraId="6D3CFCC7" w14:textId="5433CBEF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 xml:space="preserve">Economics AA-T </w:t>
      </w:r>
    </w:p>
    <w:p w:rsidR="6977D71C" w:rsidP="495C4F41" w:rsidRDefault="6977D71C" w14:paraId="79938916" w14:textId="5B03CC11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6977D7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MATH 125 (but rarely offered); ECON 230</w:t>
      </w:r>
    </w:p>
    <w:p w:rsidR="45ABF28A" w:rsidP="495C4F41" w:rsidRDefault="45ABF28A" w14:paraId="165B50CC" w14:textId="455FA4FA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 xml:space="preserve">Math for Surveying and Computer-Aided Design (Engineering) </w:t>
      </w:r>
      <w:r w:rsidRPr="495C4F41" w:rsidR="45ABF28A">
        <w:rPr>
          <w:sz w:val="24"/>
          <w:szCs w:val="24"/>
        </w:rPr>
        <w:t>Certificate</w:t>
      </w:r>
      <w:r w:rsidRPr="495C4F41" w:rsidR="45ABF28A">
        <w:rPr>
          <w:sz w:val="24"/>
          <w:szCs w:val="24"/>
        </w:rPr>
        <w:t xml:space="preserve"> of Achievement</w:t>
      </w:r>
      <w:r w:rsidRPr="495C4F41" w:rsidR="275F3F06">
        <w:rPr>
          <w:sz w:val="24"/>
          <w:szCs w:val="24"/>
        </w:rPr>
        <w:t xml:space="preserve"> </w:t>
      </w:r>
    </w:p>
    <w:p w:rsidR="275F3F06" w:rsidP="495C4F41" w:rsidRDefault="275F3F06" w14:paraId="01AC24BA" w14:textId="3BB93536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275F3F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ENGR 111 (CORE); ENGR 210 (CORE)</w:t>
      </w:r>
    </w:p>
    <w:p w:rsidR="45ABF28A" w:rsidP="495C4F41" w:rsidRDefault="45ABF28A" w14:paraId="53C08606" w14:textId="63E88F82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>Environmental Studies AS-T</w:t>
      </w:r>
      <w:r w:rsidRPr="495C4F41" w:rsidR="689ED648">
        <w:rPr>
          <w:sz w:val="24"/>
          <w:szCs w:val="24"/>
        </w:rPr>
        <w:t xml:space="preserve"> </w:t>
      </w:r>
    </w:p>
    <w:p w:rsidR="689ED648" w:rsidP="495C4F41" w:rsidRDefault="689ED648" w14:paraId="57931AED" w14:textId="39F81DF4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689ED6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BIOL 230 (CORE); ENVS 115 (A); GEOL 101 (A)</w:t>
      </w:r>
    </w:p>
    <w:p w:rsidR="45ABF28A" w:rsidP="495C4F41" w:rsidRDefault="45ABF28A" w14:paraId="601485DD" w14:textId="31940974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>Ethnic Studies AA</w:t>
      </w:r>
      <w:r w:rsidRPr="495C4F41" w:rsidR="6BCBB5D6">
        <w:rPr>
          <w:sz w:val="24"/>
          <w:szCs w:val="24"/>
        </w:rPr>
        <w:t xml:space="preserve"> </w:t>
      </w:r>
    </w:p>
    <w:p w:rsidR="6BCBB5D6" w:rsidP="495C4F41" w:rsidRDefault="6BCBB5D6" w14:paraId="0BDFCC25" w14:textId="6C522D57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6BCBB5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ETHN 103; ETHN 265; ETHN 288</w:t>
      </w:r>
    </w:p>
    <w:p w:rsidR="45ABF28A" w:rsidP="495C4F41" w:rsidRDefault="45ABF28A" w14:paraId="312722E4" w14:textId="6A6515F6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>Geography AA-T</w:t>
      </w:r>
      <w:r w:rsidRPr="495C4F41" w:rsidR="7B81FABA">
        <w:rPr>
          <w:sz w:val="24"/>
          <w:szCs w:val="24"/>
        </w:rPr>
        <w:t xml:space="preserve"> </w:t>
      </w:r>
    </w:p>
    <w:p w:rsidR="7B81FABA" w:rsidP="495C4F41" w:rsidRDefault="7B81FABA" w14:paraId="3D713351" w14:textId="3314D66F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7B81FA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GEOG 101 (CORE); GEOG 150 (A)</w:t>
      </w:r>
    </w:p>
    <w:p w:rsidR="45ABF28A" w:rsidP="495C4F41" w:rsidRDefault="45ABF28A" w14:paraId="6E7ACD1D" w14:textId="1349F637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>Social Work and Human Services AA-T</w:t>
      </w:r>
      <w:r w:rsidRPr="495C4F41" w:rsidR="37EBFA78">
        <w:rPr>
          <w:sz w:val="24"/>
          <w:szCs w:val="24"/>
        </w:rPr>
        <w:t xml:space="preserve"> </w:t>
      </w:r>
    </w:p>
    <w:p w:rsidR="37EBFA78" w:rsidP="495C4F41" w:rsidRDefault="37EBFA78" w14:paraId="147CD1A7" w14:textId="45D1B3DF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37EBFA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HMSV 121; HMSV 122; SOCI 141</w:t>
      </w:r>
    </w:p>
    <w:p w:rsidR="45ABF28A" w:rsidP="495C4F41" w:rsidRDefault="45ABF28A" w14:paraId="4C6F5CA6" w14:textId="1FE0B9EF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>Political Science AA-T</w:t>
      </w:r>
      <w:r w:rsidRPr="495C4F41" w:rsidR="22386E1D">
        <w:rPr>
          <w:sz w:val="24"/>
          <w:szCs w:val="24"/>
        </w:rPr>
        <w:t xml:space="preserve"> </w:t>
      </w:r>
    </w:p>
    <w:p w:rsidR="22386E1D" w:rsidP="495C4F41" w:rsidRDefault="22386E1D" w14:paraId="6BDCB0C0" w14:textId="0A408C9D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22386E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PLSC 150; GEOG 110; SOCI 141</w:t>
      </w:r>
    </w:p>
    <w:p w:rsidR="45ABF28A" w:rsidP="495C4F41" w:rsidRDefault="45ABF28A" w14:paraId="57C7DD99" w14:textId="62885E51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>Psychology AA-T</w:t>
      </w:r>
      <w:r w:rsidRPr="495C4F41" w:rsidR="01A86116">
        <w:rPr>
          <w:sz w:val="24"/>
          <w:szCs w:val="24"/>
        </w:rPr>
        <w:t xml:space="preserve"> </w:t>
      </w:r>
    </w:p>
    <w:p w:rsidR="01A86116" w:rsidP="495C4F41" w:rsidRDefault="01A86116" w14:paraId="0E80DB13" w14:textId="1EE2E3B4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01A861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PSYC/SOCI 205 (CORE); PSYC 106 (C)</w:t>
      </w:r>
    </w:p>
    <w:p w:rsidR="45ABF28A" w:rsidP="495C4F41" w:rsidRDefault="45ABF28A" w14:paraId="22525AD4" w14:textId="51E168FE">
      <w:pPr>
        <w:pStyle w:val="ListParagraph"/>
        <w:numPr>
          <w:ilvl w:val="1"/>
          <w:numId w:val="3"/>
        </w:numPr>
        <w:rPr>
          <w:noProof w:val="0"/>
          <w:sz w:val="24"/>
          <w:szCs w:val="24"/>
          <w:lang w:val="en-US"/>
        </w:rPr>
      </w:pPr>
      <w:r w:rsidRPr="495C4F41" w:rsidR="45ABF28A">
        <w:rPr>
          <w:sz w:val="24"/>
          <w:szCs w:val="24"/>
        </w:rPr>
        <w:t>Sociology AA-T</w:t>
      </w:r>
      <w:r w:rsidRPr="495C4F41" w:rsidR="5D2D6F4D">
        <w:rPr>
          <w:sz w:val="24"/>
          <w:szCs w:val="24"/>
        </w:rPr>
        <w:t xml:space="preserve"> </w:t>
      </w:r>
    </w:p>
    <w:p w:rsidR="5D2D6F4D" w:rsidP="495C4F41" w:rsidRDefault="5D2D6F4D" w14:paraId="783B4036" w14:textId="08224693">
      <w:pPr>
        <w:pStyle w:val="ListParagraph"/>
        <w:numPr>
          <w:ilvl w:val="2"/>
          <w:numId w:val="3"/>
        </w:numPr>
        <w:rPr>
          <w:noProof w:val="0"/>
          <w:sz w:val="24"/>
          <w:szCs w:val="24"/>
          <w:lang w:val="en-US"/>
        </w:rPr>
      </w:pPr>
      <w:r w:rsidRPr="495C4F41" w:rsidR="5D2D6F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PSYC/SOCI 205; SOCI 141; GEOG 110</w:t>
      </w:r>
    </w:p>
    <w:p w:rsidR="34E343D5" w:rsidP="495C4F41" w:rsidRDefault="34E343D5" w14:paraId="293258DD" w14:textId="3D55B4B1">
      <w:pPr>
        <w:pStyle w:val="Heading1"/>
      </w:pPr>
      <w:r w:rsidR="34E343D5">
        <w:rPr/>
        <w:t>CCCCO ZTC Grants</w:t>
      </w:r>
    </w:p>
    <w:p w:rsidR="3967F662" w:rsidP="495C4F41" w:rsidRDefault="3967F662" w14:paraId="5BADE559" w14:textId="0D687490">
      <w:pPr>
        <w:pStyle w:val="Normal"/>
      </w:pPr>
      <w:r w:rsidR="3967F662">
        <w:rPr/>
        <w:t>All grant applications would be for work on current or forthcoming ZTC pathways. Work is being compensated based on FTE via Non-Instructional Agreements.</w:t>
      </w:r>
    </w:p>
    <w:p w:rsidR="352190BE" w:rsidP="495C4F41" w:rsidRDefault="352190BE" w14:paraId="20C968A3" w14:textId="52A836C4">
      <w:pPr>
        <w:pStyle w:val="ListParagraph"/>
        <w:numPr>
          <w:ilvl w:val="0"/>
          <w:numId w:val="4"/>
        </w:numPr>
        <w:rPr/>
      </w:pPr>
      <w:r w:rsidR="352190BE">
        <w:rPr/>
        <w:t>Acceleration</w:t>
      </w:r>
    </w:p>
    <w:p w:rsidR="352190BE" w:rsidP="495C4F41" w:rsidRDefault="352190BE" w14:paraId="0AA5C81D" w14:textId="26E7F001">
      <w:pPr>
        <w:pStyle w:val="ListParagraph"/>
        <w:numPr>
          <w:ilvl w:val="1"/>
          <w:numId w:val="4"/>
        </w:numPr>
        <w:rPr/>
      </w:pPr>
      <w:r w:rsidR="352190BE">
        <w:rPr/>
        <w:t xml:space="preserve">ECE AS-T with Digital Enhancement: Kristina Brower will </w:t>
      </w:r>
      <w:r w:rsidR="08FD8BCC">
        <w:rPr/>
        <w:t xml:space="preserve">remix existing OER texts for </w:t>
      </w:r>
      <w:r w:rsidR="352190BE">
        <w:rPr/>
        <w:t xml:space="preserve">ECE 313; Anna Mills will add an </w:t>
      </w:r>
      <w:r w:rsidR="352190BE">
        <w:rPr/>
        <w:t>additional</w:t>
      </w:r>
      <w:r w:rsidR="352190BE">
        <w:rPr/>
        <w:t xml:space="preserve"> chapter to her ENGL 100 OER text to address digital literacy in writing, which ECE faculty (and ot</w:t>
      </w:r>
      <w:r w:rsidR="3EB47035">
        <w:rPr/>
        <w:t>hers) can pull out as a stand-alone unit for their courses</w:t>
      </w:r>
      <w:r w:rsidR="563CD579">
        <w:rPr/>
        <w:t>.</w:t>
      </w:r>
    </w:p>
    <w:p w:rsidR="563CD579" w:rsidP="495C4F41" w:rsidRDefault="563CD579" w14:paraId="13F6E609" w14:textId="7FB72A8A">
      <w:pPr>
        <w:pStyle w:val="ListParagraph"/>
        <w:numPr>
          <w:ilvl w:val="2"/>
          <w:numId w:val="4"/>
        </w:numPr>
        <w:rPr/>
      </w:pPr>
      <w:r w:rsidR="563CD579">
        <w:rPr/>
        <w:t>Initial $25,000 awarded; used to support Kristina Brower in remix project (and Lisa Kiesselbach in using the materials for Fall 2024) (total for Summer 2024 and Fall 2024: .3 FTE)</w:t>
      </w:r>
    </w:p>
    <w:p w:rsidR="563CD579" w:rsidP="495C4F41" w:rsidRDefault="563CD579" w14:paraId="4345912A" w14:textId="3EF5EBB4">
      <w:pPr>
        <w:pStyle w:val="ListParagraph"/>
        <w:numPr>
          <w:ilvl w:val="2"/>
          <w:numId w:val="4"/>
        </w:numPr>
        <w:rPr/>
      </w:pPr>
      <w:r w:rsidR="563CD579">
        <w:rPr/>
        <w:t xml:space="preserve">Further funding will be requested from the </w:t>
      </w:r>
      <w:r w:rsidR="563CD579">
        <w:rPr/>
        <w:t>initial</w:t>
      </w:r>
      <w:r w:rsidR="563CD579">
        <w:rPr/>
        <w:t xml:space="preserve"> application to further support Anna Mills (Summer-Fall 2024: .2 FTE; Spring 2025: .</w:t>
      </w:r>
      <w:r w:rsidR="33EFB339">
        <w:rPr/>
        <w:t>2 FTE)</w:t>
      </w:r>
    </w:p>
    <w:p w:rsidR="3EB47035" w:rsidP="495C4F41" w:rsidRDefault="3EB47035" w14:paraId="64A31A6A" w14:textId="755385AF">
      <w:pPr>
        <w:pStyle w:val="ListParagraph"/>
        <w:numPr>
          <w:ilvl w:val="1"/>
          <w:numId w:val="4"/>
        </w:numPr>
        <w:rPr/>
      </w:pPr>
      <w:r w:rsidR="3EB47035">
        <w:rPr/>
        <w:t>MATH AS-T with Competency-Based and Equity-Based Assessments: Michael Hoffman, Amira Alkeswani and Ray Lapuz will author</w:t>
      </w:r>
      <w:r w:rsidR="64C02F93">
        <w:rPr/>
        <w:t xml:space="preserve"> assessments for the MATH 250 series and the MATH 270 series to include competency-based assessments that are equity-based.</w:t>
      </w:r>
    </w:p>
    <w:p w:rsidR="5B36248F" w:rsidP="495C4F41" w:rsidRDefault="5B36248F" w14:paraId="1367F238" w14:textId="4F1BA1F1">
      <w:pPr>
        <w:pStyle w:val="ListParagraph"/>
        <w:numPr>
          <w:ilvl w:val="2"/>
          <w:numId w:val="4"/>
        </w:numPr>
        <w:rPr/>
      </w:pPr>
      <w:r w:rsidR="5B36248F">
        <w:rPr/>
        <w:t>Initial $25,000 to fund .1 FTE for each to plan during Fall 2024</w:t>
      </w:r>
    </w:p>
    <w:p w:rsidR="5B36248F" w:rsidP="495C4F41" w:rsidRDefault="5B36248F" w14:paraId="20565679" w14:textId="07B5E07D">
      <w:pPr>
        <w:pStyle w:val="ListParagraph"/>
        <w:numPr>
          <w:ilvl w:val="2"/>
          <w:numId w:val="4"/>
        </w:numPr>
        <w:rPr/>
      </w:pPr>
      <w:r w:rsidR="5B36248F">
        <w:rPr/>
        <w:t xml:space="preserve">Further funding will be requested from the </w:t>
      </w:r>
      <w:r w:rsidR="5B36248F">
        <w:rPr/>
        <w:t>initial</w:t>
      </w:r>
      <w:r w:rsidR="5B36248F">
        <w:rPr/>
        <w:t xml:space="preserve"> application to further support them (Spring 2025: .3 FTE each for Michael Hoffman and Amira Alkeswani; .1 FTE for Ray Lapuz)</w:t>
      </w:r>
    </w:p>
    <w:p w:rsidR="352190BE" w:rsidP="495C4F41" w:rsidRDefault="352190BE" w14:paraId="097B87B3" w14:textId="6AEFAD2C">
      <w:pPr>
        <w:pStyle w:val="ListParagraph"/>
        <w:numPr>
          <w:ilvl w:val="0"/>
          <w:numId w:val="4"/>
        </w:numPr>
        <w:rPr/>
      </w:pPr>
      <w:r w:rsidR="352190BE">
        <w:rPr/>
        <w:t>Acceleration II</w:t>
      </w:r>
    </w:p>
    <w:p w:rsidR="577673BA" w:rsidP="495C4F41" w:rsidRDefault="577673BA" w14:paraId="4F0082E9" w14:textId="0D6BBAF5">
      <w:pPr>
        <w:pStyle w:val="ListParagraph"/>
        <w:numPr>
          <w:ilvl w:val="1"/>
          <w:numId w:val="4"/>
        </w:numPr>
        <w:rPr/>
      </w:pPr>
      <w:r w:rsidR="577673BA">
        <w:rPr/>
        <w:t>Digital Arts and Animation will be converting at least one degree or certificate pathway Spring-Summer 2025</w:t>
      </w:r>
    </w:p>
    <w:p w:rsidR="577673BA" w:rsidP="495C4F41" w:rsidRDefault="577673BA" w14:paraId="2137F0DE" w14:textId="140CEA75">
      <w:pPr>
        <w:pStyle w:val="ListParagraph"/>
        <w:numPr>
          <w:ilvl w:val="2"/>
          <w:numId w:val="4"/>
        </w:numPr>
        <w:rPr/>
      </w:pPr>
      <w:r w:rsidR="577673BA">
        <w:rPr/>
        <w:t>Faculty involved: Emanuela Quaglia, Hyla Lacefield</w:t>
      </w:r>
    </w:p>
    <w:p w:rsidR="2769470E" w:rsidP="495C4F41" w:rsidRDefault="2769470E" w14:paraId="0B1069BC" w14:textId="4491AE23">
      <w:pPr>
        <w:pStyle w:val="ListParagraph"/>
        <w:numPr>
          <w:ilvl w:val="2"/>
          <w:numId w:val="4"/>
        </w:numPr>
        <w:rPr/>
      </w:pPr>
      <w:r w:rsidR="2769470E">
        <w:rPr/>
        <w:t>Exact pathway TBD</w:t>
      </w:r>
    </w:p>
    <w:p w:rsidR="352190BE" w:rsidP="495C4F41" w:rsidRDefault="352190BE" w14:paraId="2612DCA7" w14:textId="691F0F1D">
      <w:pPr>
        <w:pStyle w:val="ListParagraph"/>
        <w:numPr>
          <w:ilvl w:val="0"/>
          <w:numId w:val="4"/>
        </w:numPr>
        <w:rPr/>
      </w:pPr>
      <w:r w:rsidR="352190BE">
        <w:rPr/>
        <w:t>OER Expansion</w:t>
      </w:r>
    </w:p>
    <w:p w:rsidR="352190BE" w:rsidP="495C4F41" w:rsidRDefault="352190BE" w14:paraId="511B9B70" w14:textId="7C8BA14C">
      <w:pPr>
        <w:pStyle w:val="ListParagraph"/>
        <w:numPr>
          <w:ilvl w:val="1"/>
          <w:numId w:val="4"/>
        </w:numPr>
        <w:rPr/>
      </w:pPr>
      <w:r w:rsidR="352190BE">
        <w:rPr/>
        <w:t>BIOL 110: Barry Thomson will be authoring an adaptive quiz ancillary to rival what is offered by publisher materials</w:t>
      </w:r>
    </w:p>
    <w:p w:rsidR="352190BE" w:rsidP="495C4F41" w:rsidRDefault="352190BE" w14:paraId="467CD06C" w14:textId="7644AF93">
      <w:pPr>
        <w:pStyle w:val="ListParagraph"/>
        <w:numPr>
          <w:ilvl w:val="2"/>
          <w:numId w:val="4"/>
        </w:numPr>
        <w:rPr/>
      </w:pPr>
      <w:r w:rsidR="352190BE">
        <w:rPr/>
        <w:t>Spring 2025; application forthcoming</w:t>
      </w:r>
    </w:p>
    <w:p w:rsidR="0FB02D0A" w:rsidP="495C4F41" w:rsidRDefault="0FB02D0A" w14:paraId="4A1595E1" w14:textId="4F274672">
      <w:pPr>
        <w:pStyle w:val="Heading1"/>
        <w:keepNext w:val="1"/>
        <w:keepLines w:val="1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95C4F41" w:rsidR="0FB02D0A">
        <w:rPr>
          <w:noProof w:val="0"/>
          <w:lang w:val="en-US"/>
        </w:rPr>
        <w:t>Proposed changes to BOG Title 5 Regulations: Burden-Free Access to Instructional Materials</w:t>
      </w:r>
    </w:p>
    <w:p w:rsidR="0FB02D0A" w:rsidP="495C4F41" w:rsidRDefault="0FB02D0A" w14:paraId="41861ACA" w14:textId="713B6759">
      <w:pPr>
        <w:spacing w:after="1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5C4F41" w:rsidR="0FB02D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Based on the report published earlier this year from the ‘Burden-Free’ Instructional Materials Task Force, there is a new proposed subsection to Title 5 that would encourage the use of zero- and low-cost materials in as many courses as possible. The language of the new subsection is in a </w:t>
      </w:r>
      <w:hyperlink r:id="Ra59cfab4bbb347c8">
        <w:r w:rsidRPr="495C4F41" w:rsidR="0FB02D0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Word document</w:t>
        </w:r>
      </w:hyperlink>
      <w:r w:rsidRPr="495C4F41" w:rsidR="0FB02D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we are using to collect feedback. The due date to submit feedback is at 22 October’s Textbook Affordability Subcommittee meeting (1-2pm); the group will review the comments and finalize everything before it gets submitted.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4ae46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accf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588b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d6f7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DCBC1A"/>
    <w:rsid w:val="01A86116"/>
    <w:rsid w:val="053C2F10"/>
    <w:rsid w:val="07FCF167"/>
    <w:rsid w:val="089BF281"/>
    <w:rsid w:val="08FD8BCC"/>
    <w:rsid w:val="0BC34233"/>
    <w:rsid w:val="0FB02D0A"/>
    <w:rsid w:val="1AA12ACF"/>
    <w:rsid w:val="1BDCBC1A"/>
    <w:rsid w:val="2050E9C5"/>
    <w:rsid w:val="22386E1D"/>
    <w:rsid w:val="2267AE32"/>
    <w:rsid w:val="275F3F06"/>
    <w:rsid w:val="2769470E"/>
    <w:rsid w:val="28ACD8EA"/>
    <w:rsid w:val="29B3453B"/>
    <w:rsid w:val="33EFB339"/>
    <w:rsid w:val="34E343D5"/>
    <w:rsid w:val="352190BE"/>
    <w:rsid w:val="35DF9DF5"/>
    <w:rsid w:val="37EBFA78"/>
    <w:rsid w:val="3967F662"/>
    <w:rsid w:val="3A19E7CF"/>
    <w:rsid w:val="3E747563"/>
    <w:rsid w:val="3EB47035"/>
    <w:rsid w:val="3F966B11"/>
    <w:rsid w:val="45ABF28A"/>
    <w:rsid w:val="495C4F41"/>
    <w:rsid w:val="563CD579"/>
    <w:rsid w:val="577673BA"/>
    <w:rsid w:val="58CBF81D"/>
    <w:rsid w:val="5B36248F"/>
    <w:rsid w:val="5D2D6F4D"/>
    <w:rsid w:val="5E356E26"/>
    <w:rsid w:val="64C02F93"/>
    <w:rsid w:val="65CB1D6F"/>
    <w:rsid w:val="65EA9BA5"/>
    <w:rsid w:val="689ED648"/>
    <w:rsid w:val="6977D71C"/>
    <w:rsid w:val="6BCBB5D6"/>
    <w:rsid w:val="6E09100D"/>
    <w:rsid w:val="72896420"/>
    <w:rsid w:val="729DD80A"/>
    <w:rsid w:val="7B81FABA"/>
    <w:rsid w:val="7D3EED51"/>
    <w:rsid w:val="7EC15ABB"/>
    <w:rsid w:val="7EE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BC1A"/>
  <w15:chartTrackingRefBased/>
  <w15:docId w15:val="{270CBDF5-DCFE-429E-8069-24C874AFBB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95C4F41"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495C4F41"/>
    <w:rPr>
      <w:rFonts w:ascii="Arial" w:hAnsi="Arial" w:eastAsia="Arial" w:cs="Arial"/>
      <w:color w:val="auto"/>
      <w:sz w:val="32"/>
      <w:szCs w:val="32"/>
    </w:rPr>
  </w:style>
  <w:style w:type="paragraph" w:styleId="Heading1">
    <w:uiPriority w:val="9"/>
    <w:name w:val="heading 1"/>
    <w:basedOn w:val="Normal"/>
    <w:next w:val="Normal"/>
    <w:link w:val="Heading1Char"/>
    <w:qFormat/>
    <w:rsid w:val="495C4F41"/>
    <w:rPr>
      <w:color w:val="auto"/>
      <w:sz w:val="32"/>
      <w:szCs w:val="32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95C4F41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95C4F41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95C4F41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95C4F41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95C4F41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95C4F41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95C4F41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95C4F41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495C4F41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495C4F41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495C4F41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495C4F41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95C4F41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495C4F41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95C4F41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95C4F41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95C4F41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95C4F41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95C4F41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95C4F41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95C4F41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95C4F41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95C4F41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495C4F4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495C4F41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495C4F41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mccd-my.sharepoint.com/:w:/g/personal/harmons_smccd_edu/EVlMEq1b0wVPgBlvutO2G_cBIUBZ-k9nWgD_5ry8EaZ3fg?e=IGksN2" TargetMode="External" Id="Ra59cfab4bbb347c8" /><Relationship Type="http://schemas.openxmlformats.org/officeDocument/2006/relationships/numbering" Target="numbering.xml" Id="Rd37d5b3f10854e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2024-10-18T15:56:30.8007442Z</dcterms:created>
  <dcterms:modified xsi:type="dcterms:W3CDTF">2024-10-18T16:40:09.2666477Z</dcterms:modified>
  <dc:creator>Harmon, Sarah</dc:creator>
  <lastModifiedBy>Harmon, Sarah</lastModifiedBy>
</coreProperties>
</file>